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83B0" w14:textId="7D86D9AE" w:rsidR="00002585" w:rsidRPr="00002585" w:rsidRDefault="00002585" w:rsidP="00002585">
      <w:pPr>
        <w:pStyle w:val="1"/>
        <w:spacing w:after="290"/>
        <w:ind w:left="0" w:firstLine="0"/>
      </w:pPr>
      <w:r w:rsidRPr="00002585">
        <w:t xml:space="preserve">Διαδικασία Δ10: Διασφάλιση Μη Σύγκρουσης Συμφερόντων </w:t>
      </w:r>
    </w:p>
    <w:p w14:paraId="6162D08D" w14:textId="77777777" w:rsidR="00002585" w:rsidRPr="002C10E8" w:rsidRDefault="00002585" w:rsidP="00002585">
      <w:pPr>
        <w:pBdr>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pBdr>
        <w:shd w:val="clear" w:color="auto" w:fill="2E74B5" w:themeFill="accent1" w:themeFillShade="BF"/>
        <w:spacing w:after="287"/>
        <w:rPr>
          <w:rFonts w:cstheme="minorHAnsi"/>
          <w:b/>
          <w:bCs/>
          <w:color w:val="000000" w:themeColor="text1"/>
        </w:rPr>
      </w:pPr>
      <w:r w:rsidRPr="002C10E8">
        <w:rPr>
          <w:rFonts w:cstheme="minorHAnsi"/>
          <w:b/>
          <w:bCs/>
          <w:color w:val="FFFFFF" w:themeColor="background1"/>
        </w:rPr>
        <w:t xml:space="preserve">1. Σκοπός  </w:t>
      </w:r>
    </w:p>
    <w:p w14:paraId="26E7945B" w14:textId="3CB92E95" w:rsidR="00151078" w:rsidRDefault="00151078" w:rsidP="00151078">
      <w:pPr>
        <w:jc w:val="both"/>
        <w:rPr>
          <w:rFonts w:cstheme="minorHAnsi"/>
        </w:rPr>
      </w:pPr>
      <w:r w:rsidRPr="00151078">
        <w:rPr>
          <w:rFonts w:cstheme="minorHAnsi"/>
        </w:rPr>
        <w:t xml:space="preserve">Σκοπός της διαδικασίας είναι </w:t>
      </w:r>
      <w:r w:rsidR="009547F5">
        <w:rPr>
          <w:rFonts w:cstheme="minorHAnsi"/>
        </w:rPr>
        <w:t xml:space="preserve">η διασφάλιση </w:t>
      </w:r>
      <w:r w:rsidR="00192AEC">
        <w:rPr>
          <w:rFonts w:cstheme="minorHAnsi"/>
        </w:rPr>
        <w:t>μη</w:t>
      </w:r>
      <w:r w:rsidR="00BE3849">
        <w:rPr>
          <w:rFonts w:cstheme="minorHAnsi"/>
        </w:rPr>
        <w:t xml:space="preserve"> </w:t>
      </w:r>
      <w:r w:rsidR="006735B5">
        <w:rPr>
          <w:rFonts w:cstheme="minorHAnsi"/>
        </w:rPr>
        <w:t xml:space="preserve">ύπαρξης </w:t>
      </w:r>
      <w:r w:rsidR="00192AEC">
        <w:rPr>
          <w:rFonts w:cstheme="minorHAnsi"/>
        </w:rPr>
        <w:t xml:space="preserve">κινδύνου </w:t>
      </w:r>
      <w:r w:rsidRPr="00151078">
        <w:rPr>
          <w:rFonts w:cstheme="minorHAnsi"/>
        </w:rPr>
        <w:t xml:space="preserve">πιθανής σύγκρουσης συμφερόντων, όπως αυτή ορίζεται </w:t>
      </w:r>
      <w:r w:rsidR="00A92F81">
        <w:rPr>
          <w:rFonts w:cstheme="minorHAnsi"/>
        </w:rPr>
        <w:t xml:space="preserve">στο άρθρο 61 του </w:t>
      </w:r>
      <w:r w:rsidRPr="00151078">
        <w:rPr>
          <w:rFonts w:cstheme="minorHAnsi"/>
        </w:rPr>
        <w:t>Δημοσιονομικ</w:t>
      </w:r>
      <w:r w:rsidR="00A92F81">
        <w:rPr>
          <w:rFonts w:cstheme="minorHAnsi"/>
        </w:rPr>
        <w:t>ού</w:t>
      </w:r>
      <w:r w:rsidRPr="00151078">
        <w:rPr>
          <w:rFonts w:cstheme="minorHAnsi"/>
        </w:rPr>
        <w:t xml:space="preserve"> Κανονισμ</w:t>
      </w:r>
      <w:r w:rsidR="00A92F81">
        <w:rPr>
          <w:rFonts w:cstheme="minorHAnsi"/>
        </w:rPr>
        <w:t>ού</w:t>
      </w:r>
      <w:r w:rsidRPr="00151078">
        <w:rPr>
          <w:rFonts w:cstheme="minorHAnsi"/>
        </w:rPr>
        <w:t xml:space="preserve"> 2018/1046. </w:t>
      </w:r>
    </w:p>
    <w:p w14:paraId="1D332673" w14:textId="77777777" w:rsidR="00002585" w:rsidRPr="002C10E8" w:rsidRDefault="00002585" w:rsidP="00002585">
      <w:pPr>
        <w:pBdr>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pBdr>
        <w:shd w:val="clear" w:color="auto" w:fill="2E74B5" w:themeFill="accent1" w:themeFillShade="BF"/>
        <w:spacing w:after="287"/>
        <w:rPr>
          <w:rFonts w:cstheme="minorHAnsi"/>
          <w:b/>
          <w:bCs/>
          <w:color w:val="000000" w:themeColor="text1"/>
        </w:rPr>
      </w:pPr>
      <w:r>
        <w:rPr>
          <w:rFonts w:cstheme="minorHAnsi"/>
          <w:b/>
          <w:bCs/>
          <w:color w:val="FFFFFF" w:themeColor="background1"/>
        </w:rPr>
        <w:t>2</w:t>
      </w:r>
      <w:r w:rsidRPr="002C10E8">
        <w:rPr>
          <w:rFonts w:cstheme="minorHAnsi"/>
          <w:b/>
          <w:bCs/>
          <w:color w:val="FFFFFF" w:themeColor="background1"/>
        </w:rPr>
        <w:t xml:space="preserve">. </w:t>
      </w:r>
      <w:r>
        <w:rPr>
          <w:rFonts w:cstheme="minorHAnsi"/>
          <w:b/>
          <w:bCs/>
          <w:color w:val="FFFFFF" w:themeColor="background1"/>
        </w:rPr>
        <w:t>Πεδίο εφαρμογής</w:t>
      </w:r>
      <w:r w:rsidRPr="002C10E8">
        <w:rPr>
          <w:rFonts w:cstheme="minorHAnsi"/>
          <w:b/>
          <w:bCs/>
          <w:color w:val="FFFFFF" w:themeColor="background1"/>
        </w:rPr>
        <w:t xml:space="preserve">  </w:t>
      </w:r>
    </w:p>
    <w:p w14:paraId="4E56D6E1" w14:textId="3F1E4DFC" w:rsidR="001E4B97" w:rsidRDefault="00890F91" w:rsidP="00151078">
      <w:pPr>
        <w:jc w:val="both"/>
        <w:rPr>
          <w:rFonts w:cstheme="minorHAnsi"/>
        </w:rPr>
      </w:pPr>
      <w:r>
        <w:rPr>
          <w:rFonts w:cstheme="minorHAnsi"/>
        </w:rPr>
        <w:t xml:space="preserve">Η παρούσα διαδικασία </w:t>
      </w:r>
      <w:r w:rsidR="001E4B97">
        <w:rPr>
          <w:rFonts w:cstheme="minorHAnsi"/>
        </w:rPr>
        <w:t xml:space="preserve">είναι επικουρική της Πολιτικής Δεοντολογίας και Ακεραιότητας της ΕΥΣΤΑ που </w:t>
      </w:r>
      <w:r w:rsidR="001E4B97">
        <w:t xml:space="preserve">στοχεύει (μεταξύ άλλων) στο μετριασμό των κινδύνων και στην αντιμετώπιση πιθανών περιπτώσεων σύγκρουσης συμφερόντων Προς τούτο, </w:t>
      </w:r>
      <w:r w:rsidR="001E4B97" w:rsidRPr="00151078">
        <w:rPr>
          <w:rFonts w:cstheme="minorHAnsi"/>
        </w:rPr>
        <w:t>υποβάλλεται από όλα τα μέρη που εμπλέκονται στο στάδιο έγκρισης, υλοποίησης ή ελέγχου ενός έργου</w:t>
      </w:r>
      <w:r w:rsidR="001E4B97">
        <w:rPr>
          <w:rFonts w:cstheme="minorHAnsi"/>
        </w:rPr>
        <w:t>,</w:t>
      </w:r>
      <w:r w:rsidR="001E4B97" w:rsidRPr="00151078">
        <w:rPr>
          <w:rFonts w:cstheme="minorHAnsi"/>
        </w:rPr>
        <w:t xml:space="preserve"> δήλωση μη σύγκρουσης συμφερόντων</w:t>
      </w:r>
      <w:r w:rsidR="001E4B97">
        <w:rPr>
          <w:rFonts w:cstheme="minorHAnsi"/>
        </w:rPr>
        <w:t>.</w:t>
      </w:r>
    </w:p>
    <w:p w14:paraId="747E4C0E" w14:textId="3C77D540" w:rsidR="00151078" w:rsidRDefault="001E4B97" w:rsidP="00151078">
      <w:pPr>
        <w:jc w:val="both"/>
        <w:rPr>
          <w:rFonts w:cstheme="minorHAnsi"/>
        </w:rPr>
      </w:pPr>
      <w:r>
        <w:rPr>
          <w:rFonts w:cstheme="minorHAnsi"/>
        </w:rPr>
        <w:t xml:space="preserve">Περαιτέρω, η μη σύγκρουση συμφερόντων δύναται να ελέγχεται σε διάφορα στάδια της υλοποίησης των Δράσεων και Έργων του Ταμείου Ανάκαμψης και </w:t>
      </w:r>
      <w:r w:rsidRPr="006F1695">
        <w:rPr>
          <w:rFonts w:cstheme="minorHAnsi"/>
        </w:rPr>
        <w:t>Ανθεκτικότητας</w:t>
      </w:r>
      <w:r w:rsidR="00E31A83" w:rsidRPr="006F1695">
        <w:rPr>
          <w:rFonts w:cstheme="minorHAnsi"/>
        </w:rPr>
        <w:t>. Για το</w:t>
      </w:r>
      <w:r w:rsidR="00E219D2" w:rsidRPr="006F1695">
        <w:rPr>
          <w:rFonts w:cstheme="minorHAnsi"/>
        </w:rPr>
        <w:t>ν</w:t>
      </w:r>
      <w:r w:rsidR="00E31A83" w:rsidRPr="006F1695">
        <w:rPr>
          <w:rFonts w:cstheme="minorHAnsi"/>
        </w:rPr>
        <w:t xml:space="preserve"> σκοπό αυτό</w:t>
      </w:r>
      <w:r w:rsidRPr="006F1695">
        <w:rPr>
          <w:rFonts w:cstheme="minorHAnsi"/>
        </w:rPr>
        <w:t xml:space="preserve"> , η παρούσα </w:t>
      </w:r>
      <w:r w:rsidR="00890F91" w:rsidRPr="006F1695">
        <w:rPr>
          <w:rFonts w:cstheme="minorHAnsi"/>
        </w:rPr>
        <w:t xml:space="preserve">εστιάζει στη διασφάλιση </w:t>
      </w:r>
      <w:r w:rsidRPr="006F1695">
        <w:rPr>
          <w:rFonts w:cstheme="minorHAnsi"/>
        </w:rPr>
        <w:t xml:space="preserve">της </w:t>
      </w:r>
      <w:r w:rsidR="00890F91" w:rsidRPr="006F1695">
        <w:rPr>
          <w:rFonts w:cstheme="minorHAnsi"/>
        </w:rPr>
        <w:t xml:space="preserve">μη σύγκρουσης συμφερόντων </w:t>
      </w:r>
      <w:bookmarkStart w:id="0" w:name="_Hlk113364063"/>
      <w:r w:rsidR="00890F91" w:rsidRPr="006F1695">
        <w:rPr>
          <w:rFonts w:cstheme="minorHAnsi"/>
        </w:rPr>
        <w:t>κατά τη διαδικασία ανάληψης νομικής δέσμευσης</w:t>
      </w:r>
      <w:bookmarkEnd w:id="0"/>
      <w:r w:rsidR="00890F91" w:rsidRPr="006F1695">
        <w:rPr>
          <w:rFonts w:cstheme="minorHAnsi"/>
        </w:rPr>
        <w:t xml:space="preserve"> </w:t>
      </w:r>
      <w:r w:rsidR="00890F91" w:rsidRPr="006F1695">
        <w:t>μέσω  της σύναψης  δημοσίω</w:t>
      </w:r>
      <w:r w:rsidR="00890F91">
        <w:t>ν  συμβάσεων</w:t>
      </w:r>
      <w:r w:rsidR="00890F91">
        <w:rPr>
          <w:rFonts w:cstheme="minorHAnsi"/>
        </w:rPr>
        <w:t xml:space="preserve"> </w:t>
      </w:r>
      <w:r w:rsidR="005B7296">
        <w:rPr>
          <w:rFonts w:cstheme="minorHAnsi"/>
        </w:rPr>
        <w:t>για την υλοποί</w:t>
      </w:r>
      <w:r>
        <w:rPr>
          <w:rFonts w:cstheme="minorHAnsi"/>
        </w:rPr>
        <w:t>ηση</w:t>
      </w:r>
      <w:r w:rsidR="005B7296">
        <w:rPr>
          <w:rFonts w:cstheme="minorHAnsi"/>
        </w:rPr>
        <w:t xml:space="preserve"> Δράσεων και Έργων του ΤΑΑ. </w:t>
      </w:r>
    </w:p>
    <w:p w14:paraId="2C389884" w14:textId="77777777" w:rsidR="00002585" w:rsidRPr="002C10E8" w:rsidRDefault="00002585" w:rsidP="00002585">
      <w:pPr>
        <w:pBdr>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pBdr>
        <w:shd w:val="clear" w:color="auto" w:fill="2E74B5" w:themeFill="accent1" w:themeFillShade="BF"/>
        <w:spacing w:after="287"/>
        <w:rPr>
          <w:rFonts w:cstheme="minorHAnsi"/>
          <w:b/>
          <w:bCs/>
          <w:color w:val="000000" w:themeColor="text1"/>
        </w:rPr>
      </w:pPr>
      <w:r>
        <w:rPr>
          <w:rFonts w:cstheme="minorHAnsi"/>
          <w:b/>
          <w:bCs/>
          <w:color w:val="FFFFFF" w:themeColor="background1"/>
        </w:rPr>
        <w:t>3. Περιγραφή διαδικασίας</w:t>
      </w:r>
    </w:p>
    <w:p w14:paraId="123FDB4B" w14:textId="77777777" w:rsidR="00222480" w:rsidRDefault="00151078" w:rsidP="00151078">
      <w:pPr>
        <w:jc w:val="both"/>
        <w:rPr>
          <w:rFonts w:cstheme="minorHAnsi"/>
        </w:rPr>
      </w:pPr>
      <w:r w:rsidRPr="00151078">
        <w:rPr>
          <w:rFonts w:cstheme="minorHAnsi"/>
        </w:rPr>
        <w:t xml:space="preserve">Σύγκρουση συμφερόντων υφίσταται όταν η αμερόληπτη και αντικειμενική άσκηση των καθηκόντων δημοσιονομικού παράγοντα ή άλλου προσώπου, συμπεριλαμβανομένων των εθνικών αρχών σε οποιοδήποτε επίπεδο, το οποίο εμπλέκεται στην ένταξη, υλοποίηση, παρακολούθηση, χρηματοδότηση και έλεγχο των δράσεων του ΤΑΑ, υπονομεύεται από οικογενειακούς ή συναισθηματικούς λόγους ή από πολιτικούς ή εθνικούς δεσμούς, από οικονομικό συμφέρον ή από οποιοδήποτε άλλο άμεσο ή έμμεσο προσωπικό συμφέρον και εν τέλει δύναται να επηρεάσει τα συμφέροντα της Ένωσης. </w:t>
      </w:r>
    </w:p>
    <w:p w14:paraId="36CC8FD5" w14:textId="77777777" w:rsidR="00222480" w:rsidRPr="00811C07" w:rsidRDefault="00151078" w:rsidP="00151078">
      <w:pPr>
        <w:jc w:val="both"/>
        <w:rPr>
          <w:rFonts w:cstheme="minorHAnsi"/>
        </w:rPr>
      </w:pPr>
      <w:r w:rsidRPr="00151078">
        <w:rPr>
          <w:rFonts w:cstheme="minorHAnsi"/>
        </w:rPr>
        <w:t xml:space="preserve">Προκειμένου να διασφαλίζεται ότι δεν υπάρχει κίνδυνος πιθανής σύγκρουσης συμφερόντων, λαμβάνονται υπόψη και αξιολογούνται τα αναφερόμενα: </w:t>
      </w:r>
    </w:p>
    <w:p w14:paraId="60B6B212" w14:textId="5F1E855B" w:rsidR="00222480" w:rsidRDefault="00151078" w:rsidP="00222480">
      <w:pPr>
        <w:ind w:left="426"/>
        <w:jc w:val="both"/>
        <w:rPr>
          <w:rFonts w:cstheme="minorHAnsi"/>
        </w:rPr>
      </w:pPr>
      <w:r w:rsidRPr="00151078">
        <w:rPr>
          <w:rFonts w:ascii="Segoe UI Symbol" w:hAnsi="Segoe UI Symbol" w:cs="Segoe UI Symbol"/>
        </w:rPr>
        <w:t>✓</w:t>
      </w:r>
      <w:r w:rsidRPr="00151078">
        <w:rPr>
          <w:rFonts w:cstheme="minorHAnsi"/>
        </w:rPr>
        <w:t xml:space="preserve"> </w:t>
      </w:r>
      <w:r w:rsidRPr="00151078">
        <w:rPr>
          <w:rFonts w:ascii="Calibri" w:hAnsi="Calibri" w:cs="Calibri"/>
        </w:rPr>
        <w:t>στην</w:t>
      </w:r>
      <w:r w:rsidRPr="00151078">
        <w:rPr>
          <w:rFonts w:cstheme="minorHAnsi"/>
        </w:rPr>
        <w:t xml:space="preserve"> </w:t>
      </w:r>
      <w:r w:rsidRPr="00151078">
        <w:rPr>
          <w:rFonts w:ascii="Calibri" w:hAnsi="Calibri" w:cs="Calibri"/>
        </w:rPr>
        <w:t>ανακοίνωση</w:t>
      </w:r>
      <w:r w:rsidRPr="00151078">
        <w:rPr>
          <w:rFonts w:cstheme="minorHAnsi"/>
        </w:rPr>
        <w:t xml:space="preserve"> </w:t>
      </w:r>
      <w:r w:rsidRPr="00151078">
        <w:rPr>
          <w:rFonts w:ascii="Calibri" w:hAnsi="Calibri" w:cs="Calibri"/>
        </w:rPr>
        <w:t>της</w:t>
      </w:r>
      <w:r w:rsidRPr="00151078">
        <w:rPr>
          <w:rFonts w:cstheme="minorHAnsi"/>
        </w:rPr>
        <w:t xml:space="preserve"> </w:t>
      </w:r>
      <w:r w:rsidRPr="00151078">
        <w:rPr>
          <w:rFonts w:ascii="Calibri" w:hAnsi="Calibri" w:cs="Calibri"/>
        </w:rPr>
        <w:t>Επιτροπής</w:t>
      </w:r>
      <w:r w:rsidRPr="00151078">
        <w:rPr>
          <w:rFonts w:cstheme="minorHAnsi"/>
        </w:rPr>
        <w:t xml:space="preserve"> </w:t>
      </w:r>
      <w:r w:rsidRPr="00151078">
        <w:rPr>
          <w:rFonts w:ascii="Calibri" w:hAnsi="Calibri" w:cs="Calibri"/>
        </w:rPr>
        <w:t>«Κατευθυντήριες</w:t>
      </w:r>
      <w:r w:rsidRPr="00151078">
        <w:rPr>
          <w:rFonts w:cstheme="minorHAnsi"/>
        </w:rPr>
        <w:t xml:space="preserve"> </w:t>
      </w:r>
      <w:r w:rsidRPr="00151078">
        <w:rPr>
          <w:rFonts w:ascii="Calibri" w:hAnsi="Calibri" w:cs="Calibri"/>
        </w:rPr>
        <w:t>γραμμές</w:t>
      </w:r>
      <w:r w:rsidRPr="00151078">
        <w:rPr>
          <w:rFonts w:cstheme="minorHAnsi"/>
        </w:rPr>
        <w:t xml:space="preserve"> </w:t>
      </w:r>
      <w:r w:rsidRPr="00151078">
        <w:rPr>
          <w:rFonts w:ascii="Calibri" w:hAnsi="Calibri" w:cs="Calibri"/>
        </w:rPr>
        <w:t>για</w:t>
      </w:r>
      <w:r w:rsidRPr="00151078">
        <w:rPr>
          <w:rFonts w:cstheme="minorHAnsi"/>
        </w:rPr>
        <w:t xml:space="preserve"> </w:t>
      </w:r>
      <w:r w:rsidRPr="00151078">
        <w:rPr>
          <w:rFonts w:ascii="Calibri" w:hAnsi="Calibri" w:cs="Calibri"/>
        </w:rPr>
        <w:t>την</w:t>
      </w:r>
      <w:r w:rsidRPr="00151078">
        <w:rPr>
          <w:rFonts w:cstheme="minorHAnsi"/>
        </w:rPr>
        <w:t xml:space="preserve"> </w:t>
      </w:r>
      <w:r w:rsidRPr="00151078">
        <w:rPr>
          <w:rFonts w:ascii="Calibri" w:hAnsi="Calibri" w:cs="Calibri"/>
        </w:rPr>
        <w:t>αποφυγή</w:t>
      </w:r>
      <w:r w:rsidRPr="00151078">
        <w:rPr>
          <w:rFonts w:cstheme="minorHAnsi"/>
        </w:rPr>
        <w:t xml:space="preserve"> </w:t>
      </w:r>
      <w:r w:rsidRPr="00151078">
        <w:rPr>
          <w:rFonts w:ascii="Calibri" w:hAnsi="Calibri" w:cs="Calibri"/>
        </w:rPr>
        <w:t>και</w:t>
      </w:r>
      <w:r w:rsidRPr="00151078">
        <w:rPr>
          <w:rFonts w:cstheme="minorHAnsi"/>
        </w:rPr>
        <w:t xml:space="preserve"> </w:t>
      </w:r>
      <w:r w:rsidRPr="00151078">
        <w:rPr>
          <w:rFonts w:ascii="Calibri" w:hAnsi="Calibri" w:cs="Calibri"/>
        </w:rPr>
        <w:t>τη</w:t>
      </w:r>
      <w:r w:rsidRPr="00151078">
        <w:rPr>
          <w:rFonts w:cstheme="minorHAnsi"/>
        </w:rPr>
        <w:t xml:space="preserve"> </w:t>
      </w:r>
      <w:r w:rsidRPr="00151078">
        <w:rPr>
          <w:rFonts w:ascii="Calibri" w:hAnsi="Calibri" w:cs="Calibri"/>
        </w:rPr>
        <w:t>διαχείριση</w:t>
      </w:r>
      <w:r w:rsidRPr="00151078">
        <w:rPr>
          <w:rFonts w:cstheme="minorHAnsi"/>
        </w:rPr>
        <w:t xml:space="preserve"> </w:t>
      </w:r>
      <w:r w:rsidRPr="00151078">
        <w:rPr>
          <w:rFonts w:ascii="Calibri" w:hAnsi="Calibri" w:cs="Calibri"/>
        </w:rPr>
        <w:t>συγκρούσεων</w:t>
      </w:r>
      <w:r w:rsidRPr="00151078">
        <w:rPr>
          <w:rFonts w:cstheme="minorHAnsi"/>
        </w:rPr>
        <w:t xml:space="preserve"> </w:t>
      </w:r>
      <w:r w:rsidRPr="00151078">
        <w:rPr>
          <w:rFonts w:ascii="Calibri" w:hAnsi="Calibri" w:cs="Calibri"/>
        </w:rPr>
        <w:t>συμφερόντων</w:t>
      </w:r>
      <w:r w:rsidRPr="00151078">
        <w:rPr>
          <w:rFonts w:cstheme="minorHAnsi"/>
        </w:rPr>
        <w:t xml:space="preserve"> </w:t>
      </w:r>
      <w:r w:rsidRPr="00151078">
        <w:rPr>
          <w:rFonts w:ascii="Calibri" w:hAnsi="Calibri" w:cs="Calibri"/>
        </w:rPr>
        <w:t>στο</w:t>
      </w:r>
      <w:r w:rsidRPr="00151078">
        <w:rPr>
          <w:rFonts w:cstheme="minorHAnsi"/>
        </w:rPr>
        <w:t xml:space="preserve"> </w:t>
      </w:r>
      <w:r w:rsidRPr="00151078">
        <w:rPr>
          <w:rFonts w:ascii="Calibri" w:hAnsi="Calibri" w:cs="Calibri"/>
        </w:rPr>
        <w:t>πλαίσιο</w:t>
      </w:r>
      <w:r w:rsidRPr="00151078">
        <w:rPr>
          <w:rFonts w:cstheme="minorHAnsi"/>
        </w:rPr>
        <w:t xml:space="preserve"> </w:t>
      </w:r>
      <w:r w:rsidRPr="00151078">
        <w:rPr>
          <w:rFonts w:ascii="Calibri" w:hAnsi="Calibri" w:cs="Calibri"/>
        </w:rPr>
        <w:t>του</w:t>
      </w:r>
      <w:r w:rsidRPr="00151078">
        <w:rPr>
          <w:rFonts w:cstheme="minorHAnsi"/>
        </w:rPr>
        <w:t xml:space="preserve"> </w:t>
      </w:r>
      <w:r w:rsidRPr="00151078">
        <w:rPr>
          <w:rFonts w:ascii="Calibri" w:hAnsi="Calibri" w:cs="Calibri"/>
        </w:rPr>
        <w:t>Δημοσιονομικού</w:t>
      </w:r>
      <w:r w:rsidRPr="00151078">
        <w:rPr>
          <w:rFonts w:cstheme="minorHAnsi"/>
        </w:rPr>
        <w:t xml:space="preserve"> </w:t>
      </w:r>
      <w:r w:rsidRPr="00151078">
        <w:rPr>
          <w:rFonts w:ascii="Calibri" w:hAnsi="Calibri" w:cs="Calibri"/>
        </w:rPr>
        <w:t>Κανονισμού»</w:t>
      </w:r>
      <w:r w:rsidRPr="00151078">
        <w:rPr>
          <w:rFonts w:cstheme="minorHAnsi"/>
        </w:rPr>
        <w:t xml:space="preserve"> (2021/C 121/01) </w:t>
      </w:r>
      <w:r w:rsidR="004C7916">
        <w:rPr>
          <w:rFonts w:cstheme="minorHAnsi"/>
        </w:rPr>
        <w:t>και</w:t>
      </w:r>
    </w:p>
    <w:p w14:paraId="5BDA589E" w14:textId="19FFBBEA" w:rsidR="00222480" w:rsidRDefault="00151078" w:rsidP="00222480">
      <w:pPr>
        <w:ind w:left="426"/>
        <w:jc w:val="both"/>
        <w:rPr>
          <w:rFonts w:cstheme="minorHAnsi"/>
        </w:rPr>
      </w:pPr>
      <w:r w:rsidRPr="00151078">
        <w:rPr>
          <w:rFonts w:ascii="Segoe UI Symbol" w:hAnsi="Segoe UI Symbol" w:cs="Segoe UI Symbol"/>
        </w:rPr>
        <w:t>✓</w:t>
      </w:r>
      <w:r w:rsidRPr="00151078">
        <w:rPr>
          <w:rFonts w:cstheme="minorHAnsi"/>
        </w:rPr>
        <w:t xml:space="preserve"> </w:t>
      </w:r>
      <w:r w:rsidRPr="00151078">
        <w:rPr>
          <w:rFonts w:ascii="Calibri" w:hAnsi="Calibri" w:cs="Calibri"/>
        </w:rPr>
        <w:t>στο</w:t>
      </w:r>
      <w:r w:rsidRPr="00151078">
        <w:rPr>
          <w:rFonts w:cstheme="minorHAnsi"/>
        </w:rPr>
        <w:t xml:space="preserve"> </w:t>
      </w:r>
      <w:r w:rsidRPr="00151078">
        <w:rPr>
          <w:rFonts w:ascii="Calibri" w:hAnsi="Calibri" w:cs="Calibri"/>
        </w:rPr>
        <w:t>έγγραφο</w:t>
      </w:r>
      <w:r w:rsidRPr="00151078">
        <w:rPr>
          <w:rFonts w:cstheme="minorHAnsi"/>
        </w:rPr>
        <w:t xml:space="preserve"> </w:t>
      </w:r>
      <w:r w:rsidRPr="00151078">
        <w:rPr>
          <w:rFonts w:ascii="Calibri" w:hAnsi="Calibri" w:cs="Calibri"/>
        </w:rPr>
        <w:t>της</w:t>
      </w:r>
      <w:r w:rsidRPr="00151078">
        <w:rPr>
          <w:rFonts w:cstheme="minorHAnsi"/>
        </w:rPr>
        <w:t xml:space="preserve"> OLAF «Εντοπισμός συγκρούσεων συμφερόντων σε διαδικασίες δημοσίων συμβάσεων για διαρθρωτικές δράσεις.</w:t>
      </w:r>
      <w:r w:rsidR="002D267F">
        <w:rPr>
          <w:rFonts w:cstheme="minorHAnsi"/>
        </w:rPr>
        <w:t xml:space="preserve"> </w:t>
      </w:r>
      <w:r w:rsidRPr="00151078">
        <w:rPr>
          <w:rFonts w:cstheme="minorHAnsi"/>
        </w:rPr>
        <w:t xml:space="preserve">Πρακτικός οδηγός για διαχειριστές». </w:t>
      </w:r>
    </w:p>
    <w:p w14:paraId="62869DCE" w14:textId="4FEF95A7" w:rsidR="00222480" w:rsidRDefault="00151078" w:rsidP="00F450D3">
      <w:pPr>
        <w:jc w:val="both"/>
        <w:rPr>
          <w:rFonts w:cstheme="minorHAnsi"/>
        </w:rPr>
      </w:pPr>
      <w:r w:rsidRPr="00151078">
        <w:rPr>
          <w:rFonts w:cstheme="minorHAnsi"/>
        </w:rPr>
        <w:t>Όλα τα εμπλεκόμενα μέρη του έργου οφείλουν να δηλώ</w:t>
      </w:r>
      <w:r w:rsidR="00147F2D">
        <w:rPr>
          <w:rFonts w:cstheme="minorHAnsi"/>
        </w:rPr>
        <w:t>ν</w:t>
      </w:r>
      <w:r w:rsidRPr="00151078">
        <w:rPr>
          <w:rFonts w:cstheme="minorHAnsi"/>
        </w:rPr>
        <w:t xml:space="preserve">ουν </w:t>
      </w:r>
      <w:r w:rsidR="00D518BC">
        <w:rPr>
          <w:rFonts w:cstheme="minorHAnsi"/>
        </w:rPr>
        <w:t>εγγράφως</w:t>
      </w:r>
      <w:r w:rsidRPr="00151078">
        <w:rPr>
          <w:rFonts w:cstheme="minorHAnsi"/>
        </w:rPr>
        <w:t xml:space="preserve">, την απουσία σύγκρουσης συμφερόντων. Η δήλωση αυτή υποβάλλεται άπαξ στους αρμόδιους φορείς με βάση το Έντυπο Δ10_Ε1 Υπόδειγμα Υπεύθυνης Δήλωσης Συμμόρφωσης. Οι φορείς οφείλουν να τηρούν σχετικό μητρώο. </w:t>
      </w:r>
    </w:p>
    <w:p w14:paraId="6160E411" w14:textId="29DEC535" w:rsidR="00222480" w:rsidRDefault="00151078" w:rsidP="00F450D3">
      <w:pPr>
        <w:jc w:val="both"/>
        <w:rPr>
          <w:rFonts w:cstheme="minorHAnsi"/>
        </w:rPr>
      </w:pPr>
      <w:r w:rsidRPr="00151078">
        <w:rPr>
          <w:rFonts w:cstheme="minorHAnsi"/>
        </w:rPr>
        <w:t xml:space="preserve">Στην περίπτωση εξωτερικών εμπειρογνωμόνων ή ελεγκτών, σχετική πρόβλεψη </w:t>
      </w:r>
      <w:r w:rsidR="00013D94">
        <w:rPr>
          <w:rFonts w:cstheme="minorHAnsi"/>
        </w:rPr>
        <w:t>περιλαμβάνεται</w:t>
      </w:r>
      <w:r w:rsidR="00013D94" w:rsidRPr="00151078">
        <w:rPr>
          <w:rFonts w:cstheme="minorHAnsi"/>
        </w:rPr>
        <w:t xml:space="preserve"> </w:t>
      </w:r>
      <w:r w:rsidRPr="00151078">
        <w:rPr>
          <w:rFonts w:cstheme="minorHAnsi"/>
        </w:rPr>
        <w:t xml:space="preserve">στη σύμβαση ανάθεσης εργασιών. </w:t>
      </w:r>
    </w:p>
    <w:p w14:paraId="5D1A4028" w14:textId="77777777" w:rsidR="00222480" w:rsidRDefault="00151078" w:rsidP="00222480">
      <w:pPr>
        <w:ind w:left="426"/>
        <w:jc w:val="both"/>
        <w:rPr>
          <w:rFonts w:cstheme="minorHAnsi"/>
        </w:rPr>
      </w:pPr>
      <w:r w:rsidRPr="00151078">
        <w:rPr>
          <w:rFonts w:cstheme="minorHAnsi"/>
        </w:rPr>
        <w:lastRenderedPageBreak/>
        <w:t xml:space="preserve">Το στέλεχος κάθε εμπλεκόμενης υπηρεσίας/φορέα στην ένταξη, υλοποίηση, παρακολούθηση και έλεγχο Δράσεων και Έργων του Ταμείου Ανάκαμψης και Ανθεκτικότητας γνωρίζει και αποδέχεται ότι: </w:t>
      </w:r>
    </w:p>
    <w:p w14:paraId="531C3285" w14:textId="2C9C44CC" w:rsidR="00222480" w:rsidRDefault="00151078" w:rsidP="00222480">
      <w:pPr>
        <w:ind w:left="709"/>
        <w:jc w:val="both"/>
        <w:rPr>
          <w:rFonts w:cstheme="minorHAnsi"/>
        </w:rPr>
      </w:pPr>
      <w:r w:rsidRPr="00151078">
        <w:rPr>
          <w:rFonts w:cstheme="minorHAnsi"/>
        </w:rPr>
        <w:t xml:space="preserve">Α. Στο πλαίσιο των καθηκόντων του που σχετίζονται με τον έλεγχο/έγκριση ΤΔΕ αλλά και το σύνολο των ενεργειών υλοποίησης των έργων του ΕΣΑΑ, δεν δύναται να ελέγχει ή να εγκρίνει ΤΔΕ και να βεβαιώνει ενέργειες που αφορούν σε Φορείς Υλοποίησης/ Αναδόχους/ Τελικούς Αποδέκτες Κονδυλίων με τους οποίους βρίσκεται ή διατηρεί σχέση που δύναται να χαρακτηριστεί ως σύγκρουση συμφερόντων, δηλαδή σχέση από την οποία να έχει οποιοδήποτε άμεσο ή έμμεσο προσωπικό, οικονομικό κυρίως, συμφέρον, το οποίο δύναται να επηρεάσει την αμερόληπτη εκτέλεση των καθηκόντων του με αθέμιτο τρόπο. Ενδεικτικά δε: εάν συμμετέχει ο ίδιος ή μέσω νομικού προσώπου στο οποίο είναι βασικός μέτοχος στο εταιρικό ή μετοχικό κεφάλαιο ή στη διοίκηση των φορέων υποβολής ΤΔΕ/ Αναδόχους/ Τελικούς Αποδέκτες Κονδυλίων. Επίσης, δεν μπορεί να ελέγχει ή να εγκρίνει ΤΔΕ και να βεβαιώνει ενέργειες που αφορούν σε Φορείς Υλοποίησης/ Αναδόχους/ Τελικούς Αποδέκτες Κονδυλίων, όταν στο εταιρικό ή μετοχικό κεφάλαιο ή στη διοίκηση των φορέων υποβολής, συμμετέχει σύζυγος ή ανιών ή κατιών συγγενής του μέχρι και τετάρτου βαθμού. </w:t>
      </w:r>
    </w:p>
    <w:p w14:paraId="7BCAF90C" w14:textId="77777777" w:rsidR="00222480" w:rsidRDefault="00151078" w:rsidP="00222480">
      <w:pPr>
        <w:ind w:left="709"/>
        <w:jc w:val="both"/>
        <w:rPr>
          <w:rFonts w:cstheme="minorHAnsi"/>
        </w:rPr>
      </w:pPr>
      <w:r w:rsidRPr="00151078">
        <w:rPr>
          <w:rFonts w:cstheme="minorHAnsi"/>
        </w:rPr>
        <w:t xml:space="preserve">Β. Στο πλαίσιο των καθηκόντων του που σχετίζονται με επαληθεύσεις/επιθεωρήσεις/ελέγχους έργων, δεν δύναται να συμμετέχει στη διενέργεια επαλήθευσης/επιθεώρησης/ελέγχου ή στην έγκριση εκθέσεων επαλήθευσης/επιθεώρησης/ελέγχου που αφορούν σε έργα Φορέων/Αναδόχων με τους οποίους βρίσκεται ή διατηρεί σχέση που δύναται να χαρακτηριστεί ως σύγκρουση συμφερόντων, δηλαδή σχέση από την οποία να έχει οποιοδήποτε άμεσο ή έμμεσο προσωπικό, οικονομικό κυρίως, συμφέρον εξαρτώμενο από τους παραπάνω Φορείς, το οποίο δύναται να επηρεάσει την αμερόληπτη εκτέλεση των καθηκόντων του με αθέμιτο τρόπο. Ενδεικτικά δε, αν συμμετέχει ο ίδιος ή μέσω νομικού προσώπου στο οποίο είναι βασικός μέτοχος στο εταιρικό ή μετοχικό κεφάλαιο ή στη διοίκηση των Φορέων Υλοποίησης/Αναδόχων /Τελικών Αποδεκτών Κονδυλίων για τα εν λόγω έργα ή έχει καταρτίσει ή συμμετάσχει με οποιονδήποτε τρόπο στην κατάρτιση των προς υποβολή ΤΔΕ ή έλεγχο/έγκρισή τους. Επίσης, δεν μπορεί να συμμετέχει σε επαλήθευση/επιθεώρηση/έλεγχο έργων ή να εγκρίνει τις σχετικές εκθέσεις, όταν στο εταιρικό ή μετοχικό κεφάλαιο ή στη διοίκηση των φορέων αυτών, συμμετέχει σύζυγος ή ανιών ή κατιών συγγενής του μέχρι και τετάρτου βαθμού. </w:t>
      </w:r>
    </w:p>
    <w:p w14:paraId="34C12E4E" w14:textId="68398B24" w:rsidR="00222480" w:rsidRDefault="00151078" w:rsidP="00222480">
      <w:pPr>
        <w:ind w:left="709"/>
        <w:jc w:val="both"/>
        <w:rPr>
          <w:rFonts w:cstheme="minorHAnsi"/>
        </w:rPr>
      </w:pPr>
      <w:r w:rsidRPr="00151078">
        <w:rPr>
          <w:rFonts w:cstheme="minorHAnsi"/>
        </w:rPr>
        <w:t xml:space="preserve">Γ. Ως υπεύθυνος για τη διενέργεια πληρωμών (εισηγητής εκκαθάρισης, εκκαθαριστής, υπεύθυνος λογαριασμού για πληρωμές σε Φορείς Υλοποίησης/Αναδόχους/Προμηθευτές) δεν δύναται να βρίσκεται ή να διατηρεί σχέση που δύναται να χαρακτηριστεί ως σύγκρουση συμφερόντων, δηλαδή σχέση από την οποία να έχει οποιοδήποτε άμεσο ή έμμεσο προσωπικό, οικονομικό κυρίως, συμφέρον εξαρτώμενο από τους Φορείς Υλοποίησης/Αναδόχους/Τελικούς Αποδέκτες Κονδυλίων, το οποίο δύναται να επηρεάσει την αμερόληπτη εκτέλεση των καθηκόντων του με αθέμιτο τρόπο. </w:t>
      </w:r>
    </w:p>
    <w:p w14:paraId="721A445E" w14:textId="77777777" w:rsidR="00222480" w:rsidRDefault="00151078" w:rsidP="00222480">
      <w:pPr>
        <w:ind w:left="709"/>
        <w:jc w:val="both"/>
        <w:rPr>
          <w:rFonts w:cstheme="minorHAnsi"/>
        </w:rPr>
      </w:pPr>
      <w:r w:rsidRPr="00151078">
        <w:rPr>
          <w:rFonts w:cstheme="minorHAnsi"/>
        </w:rPr>
        <w:lastRenderedPageBreak/>
        <w:t xml:space="preserve">Δ. Στο πλαίσιο άσκησης των ανωτέρω καθηκόντων, συνολικά ή και εν μέρει, δεν του επιτρέπεται να αποδέχεται δωρεές παντός είδους. </w:t>
      </w:r>
    </w:p>
    <w:p w14:paraId="74BDC8C6" w14:textId="77777777" w:rsidR="00222480" w:rsidRDefault="00151078" w:rsidP="00222480">
      <w:pPr>
        <w:ind w:left="426"/>
        <w:jc w:val="both"/>
        <w:rPr>
          <w:rFonts w:cstheme="minorHAnsi"/>
        </w:rPr>
      </w:pPr>
      <w:r w:rsidRPr="00151078">
        <w:rPr>
          <w:rFonts w:cstheme="minorHAnsi"/>
        </w:rPr>
        <w:t xml:space="preserve">Επίσης, γνωρίζει και αποδέχεται ότι εάν διαπιστώσει, κατά την ανάθεση/ άσκηση δραστηριότητας στο πλαίσιο των καθηκόντων του, ότι συντρέχει οποιαδήποτε κατάσταση, η οποία δύναται να χαρακτηριστεί ως σύγκρουση συμφερόντων κατά τα ανωτέρω, οφείλει να τη δηλώσει αμελλητί στον άμεσο Προϊστάμενό του/ στον Πρόεδρο του οργάνου που συμμετέχει, προκειμένου να αξιολογηθεί η ύπαρξη και η σπουδαιότητα τυχόν απειλής και ακολούθως, εφόσον κριθεί απαραίτητο, να ζητήσει αιτιολογημένα την εξαίρεσή του, με αίτημα προς την αρμόδια οργανική μονάδα, ώστε να μη συμμετάσχει σε δραστηριότητα που ενέχει σύγκρουση συμφερόντων. </w:t>
      </w:r>
    </w:p>
    <w:p w14:paraId="2FCC533C" w14:textId="77777777" w:rsidR="00F71748" w:rsidRDefault="00F71748" w:rsidP="00222480">
      <w:pPr>
        <w:ind w:left="426"/>
        <w:jc w:val="both"/>
        <w:rPr>
          <w:rFonts w:cstheme="minorHAnsi"/>
        </w:rPr>
      </w:pPr>
    </w:p>
    <w:p w14:paraId="4CA1EFA6" w14:textId="268777AC" w:rsidR="00A433C7" w:rsidRDefault="00A433C7" w:rsidP="00A433C7">
      <w:pPr>
        <w:jc w:val="both"/>
        <w:rPr>
          <w:rFonts w:cstheme="minorHAnsi"/>
        </w:rPr>
      </w:pPr>
      <w:r w:rsidRPr="00002585">
        <w:rPr>
          <w:rFonts w:eastAsia="Tahoma" w:cs="Tahoma"/>
          <w:b/>
          <w:color w:val="2E74B5" w:themeColor="accent1" w:themeShade="BF"/>
          <w:lang w:eastAsia="el-GR"/>
        </w:rPr>
        <w:t xml:space="preserve">3.1 Μη σύγκρουση </w:t>
      </w:r>
      <w:r w:rsidRPr="006F1695">
        <w:rPr>
          <w:rFonts w:eastAsia="Tahoma" w:cs="Tahoma"/>
          <w:b/>
          <w:color w:val="2E74B5" w:themeColor="accent1" w:themeShade="BF"/>
          <w:lang w:eastAsia="el-GR"/>
        </w:rPr>
        <w:t>συμφερόντων κατά την ανάληψη νομικών δεσμεύσεων</w:t>
      </w:r>
    </w:p>
    <w:p w14:paraId="7B739EC0" w14:textId="2BCDB82E" w:rsidR="00F71748" w:rsidRPr="009900B9" w:rsidRDefault="00F71748" w:rsidP="00F71748">
      <w:pPr>
        <w:jc w:val="both"/>
        <w:rPr>
          <w:rFonts w:cstheme="minorHAnsi"/>
        </w:rPr>
      </w:pPr>
      <w:r w:rsidRPr="009900B9">
        <w:rPr>
          <w:rFonts w:cstheme="minorHAnsi"/>
        </w:rPr>
        <w:t>Η</w:t>
      </w:r>
      <w:r w:rsidR="00DC3C3F">
        <w:rPr>
          <w:rFonts w:cstheme="minorHAnsi"/>
        </w:rPr>
        <w:t xml:space="preserve"> </w:t>
      </w:r>
      <w:r w:rsidRPr="009900B9">
        <w:rPr>
          <w:rFonts w:cstheme="minorHAnsi"/>
        </w:rPr>
        <w:t>ΕΥΣΤΑ</w:t>
      </w:r>
      <w:r w:rsidR="00DC3C3F">
        <w:rPr>
          <w:rFonts w:cstheme="minorHAnsi"/>
        </w:rPr>
        <w:t xml:space="preserve"> </w:t>
      </w:r>
      <w:r w:rsidRPr="009900B9">
        <w:rPr>
          <w:rFonts w:cstheme="minorHAnsi"/>
        </w:rPr>
        <w:t>στο</w:t>
      </w:r>
      <w:r w:rsidR="00DC3C3F">
        <w:rPr>
          <w:rFonts w:cstheme="minorHAnsi"/>
        </w:rPr>
        <w:t xml:space="preserve"> </w:t>
      </w:r>
      <w:r w:rsidRPr="009900B9">
        <w:rPr>
          <w:rFonts w:cstheme="minorHAnsi"/>
        </w:rPr>
        <w:t>πλαίσιο</w:t>
      </w:r>
      <w:r w:rsidR="00DC3C3F">
        <w:rPr>
          <w:rFonts w:cstheme="minorHAnsi"/>
        </w:rPr>
        <w:t xml:space="preserve"> </w:t>
      </w:r>
      <w:r w:rsidRPr="009900B9">
        <w:rPr>
          <w:rFonts w:cstheme="minorHAnsi"/>
        </w:rPr>
        <w:t>της</w:t>
      </w:r>
      <w:r w:rsidR="00DC3C3F">
        <w:rPr>
          <w:rFonts w:cstheme="minorHAnsi"/>
        </w:rPr>
        <w:t xml:space="preserve"> </w:t>
      </w:r>
      <w:r w:rsidRPr="009900B9">
        <w:rPr>
          <w:rFonts w:cstheme="minorHAnsi"/>
        </w:rPr>
        <w:t>διασφάλισης</w:t>
      </w:r>
      <w:r w:rsidR="00DC3C3F">
        <w:rPr>
          <w:rFonts w:cstheme="minorHAnsi"/>
        </w:rPr>
        <w:t xml:space="preserve"> </w:t>
      </w:r>
      <w:r w:rsidRPr="009900B9">
        <w:rPr>
          <w:rFonts w:cstheme="minorHAnsi"/>
        </w:rPr>
        <w:t>της</w:t>
      </w:r>
      <w:r w:rsidR="00DC3C3F">
        <w:rPr>
          <w:rFonts w:cstheme="minorHAnsi"/>
        </w:rPr>
        <w:t xml:space="preserve"> </w:t>
      </w:r>
      <w:r w:rsidRPr="009900B9">
        <w:rPr>
          <w:rFonts w:cstheme="minorHAnsi"/>
        </w:rPr>
        <w:t>διαφάνειας,</w:t>
      </w:r>
      <w:r w:rsidR="00DC3C3F">
        <w:rPr>
          <w:rFonts w:cstheme="minorHAnsi"/>
        </w:rPr>
        <w:t xml:space="preserve"> </w:t>
      </w:r>
      <w:r w:rsidRPr="009900B9">
        <w:rPr>
          <w:rFonts w:cstheme="minorHAnsi"/>
        </w:rPr>
        <w:t>της</w:t>
      </w:r>
      <w:r w:rsidR="00DC3C3F">
        <w:rPr>
          <w:rFonts w:cstheme="minorHAnsi"/>
        </w:rPr>
        <w:t xml:space="preserve"> </w:t>
      </w:r>
      <w:r w:rsidRPr="009900B9">
        <w:rPr>
          <w:rFonts w:cstheme="minorHAnsi"/>
        </w:rPr>
        <w:t>ίσης</w:t>
      </w:r>
      <w:r w:rsidR="00DC3C3F">
        <w:rPr>
          <w:rFonts w:cstheme="minorHAnsi"/>
        </w:rPr>
        <w:t xml:space="preserve"> </w:t>
      </w:r>
      <w:r w:rsidRPr="009900B9">
        <w:rPr>
          <w:rFonts w:cstheme="minorHAnsi"/>
        </w:rPr>
        <w:t>μεταχείρισης</w:t>
      </w:r>
      <w:r w:rsidR="00DC3C3F">
        <w:rPr>
          <w:rFonts w:cstheme="minorHAnsi"/>
        </w:rPr>
        <w:t xml:space="preserve"> </w:t>
      </w:r>
      <w:r w:rsidRPr="009900B9">
        <w:rPr>
          <w:rFonts w:cstheme="minorHAnsi"/>
        </w:rPr>
        <w:t>και</w:t>
      </w:r>
      <w:r w:rsidR="00DC3C3F">
        <w:rPr>
          <w:rFonts w:cstheme="minorHAnsi"/>
        </w:rPr>
        <w:t xml:space="preserve"> </w:t>
      </w:r>
      <w:r w:rsidRPr="009900B9">
        <w:rPr>
          <w:rFonts w:cstheme="minorHAnsi"/>
        </w:rPr>
        <w:t>της</w:t>
      </w:r>
      <w:r w:rsidR="00DC3C3F">
        <w:rPr>
          <w:rFonts w:cstheme="minorHAnsi"/>
        </w:rPr>
        <w:t xml:space="preserve"> αποφυγής</w:t>
      </w:r>
      <w:r w:rsidRPr="009900B9">
        <w:rPr>
          <w:rFonts w:cstheme="minorHAnsi"/>
        </w:rPr>
        <w:t xml:space="preserve"> τυχόν στρεβλώσεων του ανταγωνισμού, μεριμνά για τον έλεγχο της μη</w:t>
      </w:r>
      <w:r w:rsidR="00DC3C3F">
        <w:rPr>
          <w:rFonts w:cstheme="minorHAnsi"/>
        </w:rPr>
        <w:t xml:space="preserve"> </w:t>
      </w:r>
      <w:r w:rsidRPr="009900B9">
        <w:rPr>
          <w:rFonts w:cstheme="minorHAnsi"/>
        </w:rPr>
        <w:t>σύγκρουσης</w:t>
      </w:r>
      <w:r w:rsidR="00DC3C3F">
        <w:rPr>
          <w:rFonts w:cstheme="minorHAnsi"/>
        </w:rPr>
        <w:t xml:space="preserve"> </w:t>
      </w:r>
      <w:r w:rsidRPr="009900B9">
        <w:rPr>
          <w:rFonts w:cstheme="minorHAnsi"/>
        </w:rPr>
        <w:t>συμφερόντων</w:t>
      </w:r>
      <w:r w:rsidR="00DC3C3F">
        <w:rPr>
          <w:rFonts w:cstheme="minorHAnsi"/>
        </w:rPr>
        <w:t xml:space="preserve"> </w:t>
      </w:r>
      <w:r w:rsidRPr="009900B9">
        <w:rPr>
          <w:rFonts w:cstheme="minorHAnsi"/>
        </w:rPr>
        <w:t>κατά</w:t>
      </w:r>
      <w:r w:rsidR="00DC3C3F">
        <w:rPr>
          <w:rFonts w:cstheme="minorHAnsi"/>
        </w:rPr>
        <w:t xml:space="preserve"> </w:t>
      </w:r>
      <w:r w:rsidRPr="009900B9">
        <w:rPr>
          <w:rFonts w:cstheme="minorHAnsi"/>
        </w:rPr>
        <w:t>τη</w:t>
      </w:r>
      <w:r w:rsidR="00DC3C3F">
        <w:rPr>
          <w:rFonts w:cstheme="minorHAnsi"/>
        </w:rPr>
        <w:t xml:space="preserve"> </w:t>
      </w:r>
      <w:r w:rsidRPr="009900B9">
        <w:rPr>
          <w:rFonts w:cstheme="minorHAnsi"/>
        </w:rPr>
        <w:t>διεξαγωγή</w:t>
      </w:r>
      <w:r w:rsidR="00DC3C3F">
        <w:rPr>
          <w:rFonts w:cstheme="minorHAnsi"/>
        </w:rPr>
        <w:t xml:space="preserve"> </w:t>
      </w:r>
      <w:r w:rsidRPr="009900B9">
        <w:rPr>
          <w:rFonts w:cstheme="minorHAnsi"/>
        </w:rPr>
        <w:t>διαδικασιών</w:t>
      </w:r>
      <w:r w:rsidR="007C4E56">
        <w:rPr>
          <w:rFonts w:cstheme="minorHAnsi"/>
        </w:rPr>
        <w:t xml:space="preserve"> </w:t>
      </w:r>
      <w:r w:rsidRPr="009900B9">
        <w:rPr>
          <w:rFonts w:cstheme="minorHAnsi"/>
        </w:rPr>
        <w:t>σύναψης</w:t>
      </w:r>
      <w:r w:rsidR="007C4E56">
        <w:rPr>
          <w:rFonts w:cstheme="minorHAnsi"/>
        </w:rPr>
        <w:t xml:space="preserve"> </w:t>
      </w:r>
      <w:r w:rsidRPr="009900B9">
        <w:rPr>
          <w:rFonts w:cstheme="minorHAnsi"/>
        </w:rPr>
        <w:t>συμβάσεων</w:t>
      </w:r>
      <w:r w:rsidR="007C4E56">
        <w:rPr>
          <w:rFonts w:cstheme="minorHAnsi"/>
        </w:rPr>
        <w:t xml:space="preserve"> </w:t>
      </w:r>
      <w:r w:rsidRPr="009900B9">
        <w:rPr>
          <w:rFonts w:cstheme="minorHAnsi"/>
        </w:rPr>
        <w:t>στο</w:t>
      </w:r>
      <w:r w:rsidR="007C4E56">
        <w:rPr>
          <w:rFonts w:cstheme="minorHAnsi"/>
        </w:rPr>
        <w:t xml:space="preserve"> </w:t>
      </w:r>
      <w:r w:rsidRPr="009900B9">
        <w:rPr>
          <w:rFonts w:cstheme="minorHAnsi"/>
        </w:rPr>
        <w:t>πλαίσιο</w:t>
      </w:r>
      <w:r w:rsidR="007C4E56">
        <w:rPr>
          <w:rFonts w:cstheme="minorHAnsi"/>
        </w:rPr>
        <w:t xml:space="preserve"> </w:t>
      </w:r>
      <w:r w:rsidRPr="009900B9">
        <w:rPr>
          <w:rFonts w:cstheme="minorHAnsi"/>
        </w:rPr>
        <w:t>του</w:t>
      </w:r>
      <w:r w:rsidR="007C4E56">
        <w:rPr>
          <w:rFonts w:cstheme="minorHAnsi"/>
        </w:rPr>
        <w:t xml:space="preserve"> </w:t>
      </w:r>
      <w:r w:rsidRPr="009900B9">
        <w:rPr>
          <w:rFonts w:cstheme="minorHAnsi"/>
        </w:rPr>
        <w:t>μηχανισμού</w:t>
      </w:r>
      <w:r w:rsidR="007C4E56">
        <w:rPr>
          <w:rFonts w:cstheme="minorHAnsi"/>
        </w:rPr>
        <w:t xml:space="preserve"> </w:t>
      </w:r>
      <w:r w:rsidRPr="009900B9">
        <w:rPr>
          <w:rFonts w:cstheme="minorHAnsi"/>
        </w:rPr>
        <w:t>του Ταμείου</w:t>
      </w:r>
      <w:r w:rsidR="007C4E56">
        <w:rPr>
          <w:rFonts w:cstheme="minorHAnsi"/>
        </w:rPr>
        <w:t xml:space="preserve"> </w:t>
      </w:r>
      <w:r w:rsidRPr="009900B9">
        <w:rPr>
          <w:rFonts w:cstheme="minorHAnsi"/>
        </w:rPr>
        <w:t>Ανάκαμψης</w:t>
      </w:r>
      <w:r w:rsidR="007C4E56">
        <w:rPr>
          <w:rFonts w:cstheme="minorHAnsi"/>
        </w:rPr>
        <w:t xml:space="preserve"> </w:t>
      </w:r>
      <w:r w:rsidRPr="009900B9">
        <w:rPr>
          <w:rFonts w:cstheme="minorHAnsi"/>
        </w:rPr>
        <w:t>και</w:t>
      </w:r>
      <w:r w:rsidR="007C4E56">
        <w:rPr>
          <w:rFonts w:cstheme="minorHAnsi"/>
        </w:rPr>
        <w:t xml:space="preserve"> </w:t>
      </w:r>
      <w:r w:rsidRPr="009900B9">
        <w:rPr>
          <w:rFonts w:cstheme="minorHAnsi"/>
        </w:rPr>
        <w:t>Ανθεκτικότητας</w:t>
      </w:r>
      <w:r w:rsidR="00021AB4">
        <w:rPr>
          <w:rFonts w:cstheme="minorHAnsi"/>
        </w:rPr>
        <w:t xml:space="preserve">, σύμφωνα με τα ειδικότερα οριζόμενα στις </w:t>
      </w:r>
      <w:r w:rsidR="00021AB4" w:rsidRPr="00355C17">
        <w:rPr>
          <w:rFonts w:cstheme="minorHAnsi"/>
          <w:i/>
          <w:iCs/>
        </w:rPr>
        <w:t>Κατευθυντήριες</w:t>
      </w:r>
      <w:r w:rsidR="00021AB4" w:rsidRPr="00355C17">
        <w:rPr>
          <w:rStyle w:val="aa"/>
          <w:rFonts w:cstheme="minorHAnsi"/>
          <w:i/>
          <w:iCs/>
        </w:rPr>
        <w:footnoteReference w:id="1"/>
      </w:r>
      <w:r w:rsidR="00021AB4" w:rsidRPr="00355C17">
        <w:rPr>
          <w:rFonts w:cstheme="minorHAnsi"/>
          <w:i/>
          <w:iCs/>
        </w:rPr>
        <w:t xml:space="preserve"> γραμμές </w:t>
      </w:r>
      <w:r w:rsidR="000C4E07" w:rsidRPr="00355C17">
        <w:rPr>
          <w:rFonts w:cstheme="minorHAnsi"/>
          <w:i/>
          <w:iCs/>
        </w:rPr>
        <w:t xml:space="preserve">της Ευρωπαϊκής Επιτροπής </w:t>
      </w:r>
      <w:r w:rsidR="00021AB4" w:rsidRPr="00355C17">
        <w:rPr>
          <w:rFonts w:cstheme="minorHAnsi"/>
          <w:i/>
          <w:iCs/>
        </w:rPr>
        <w:t>για την αποφυγή και τη διαχείριση συγκρούσεων συμφερόντων στο πλαίσιο του Δημοσιονομικού Κανονισμού</w:t>
      </w:r>
      <w:r w:rsidR="000C4E07" w:rsidRPr="00355C17">
        <w:rPr>
          <w:rFonts w:cstheme="minorHAnsi"/>
          <w:i/>
          <w:iCs/>
        </w:rPr>
        <w:t xml:space="preserve"> </w:t>
      </w:r>
      <w:r w:rsidR="000C4E07" w:rsidRPr="00355C17">
        <w:rPr>
          <w:i/>
          <w:iCs/>
        </w:rPr>
        <w:t>(2021/C 121/01)</w:t>
      </w:r>
      <w:r w:rsidRPr="009900B9">
        <w:rPr>
          <w:rFonts w:cstheme="minorHAnsi"/>
        </w:rPr>
        <w:t>. </w:t>
      </w:r>
    </w:p>
    <w:p w14:paraId="1D9E17B9" w14:textId="7E7FDBCD" w:rsidR="00F71748" w:rsidRPr="009900B9" w:rsidRDefault="0053138B" w:rsidP="00F71748">
      <w:pPr>
        <w:jc w:val="both"/>
        <w:rPr>
          <w:rFonts w:cstheme="minorHAnsi"/>
        </w:rPr>
      </w:pPr>
      <w:r w:rsidRPr="009900B9">
        <w:rPr>
          <w:rFonts w:cstheme="minorHAnsi"/>
        </w:rPr>
        <w:t>Για</w:t>
      </w:r>
      <w:r>
        <w:rPr>
          <w:rFonts w:cstheme="minorHAnsi"/>
        </w:rPr>
        <w:t xml:space="preserve"> </w:t>
      </w:r>
      <w:r w:rsidRPr="009900B9">
        <w:rPr>
          <w:rFonts w:cstheme="minorHAnsi"/>
        </w:rPr>
        <w:t>το</w:t>
      </w:r>
      <w:r w:rsidR="000402A1">
        <w:rPr>
          <w:rFonts w:cstheme="minorHAnsi"/>
        </w:rPr>
        <w:t>ν</w:t>
      </w:r>
      <w:r>
        <w:rPr>
          <w:rFonts w:cstheme="minorHAnsi"/>
        </w:rPr>
        <w:t xml:space="preserve"> </w:t>
      </w:r>
      <w:r w:rsidRPr="009900B9">
        <w:rPr>
          <w:rFonts w:cstheme="minorHAnsi"/>
        </w:rPr>
        <w:t>σκοπό</w:t>
      </w:r>
      <w:r>
        <w:rPr>
          <w:rFonts w:cstheme="minorHAnsi"/>
        </w:rPr>
        <w:t xml:space="preserve"> </w:t>
      </w:r>
      <w:r w:rsidRPr="009900B9">
        <w:rPr>
          <w:rFonts w:cstheme="minorHAnsi"/>
        </w:rPr>
        <w:t>αυτό,</w:t>
      </w:r>
      <w:r>
        <w:rPr>
          <w:rFonts w:cstheme="minorHAnsi"/>
        </w:rPr>
        <w:t xml:space="preserve"> </w:t>
      </w:r>
      <w:r w:rsidRPr="009900B9">
        <w:rPr>
          <w:rFonts w:cstheme="minorHAnsi"/>
        </w:rPr>
        <w:t>ελέγχει</w:t>
      </w:r>
      <w:r>
        <w:rPr>
          <w:rFonts w:cstheme="minorHAnsi"/>
        </w:rPr>
        <w:t xml:space="preserve"> </w:t>
      </w:r>
      <w:r w:rsidRPr="009900B9">
        <w:rPr>
          <w:rFonts w:cstheme="minorHAnsi"/>
        </w:rPr>
        <w:t>δειγματοληπτικά</w:t>
      </w:r>
      <w:r>
        <w:rPr>
          <w:rFonts w:cstheme="minorHAnsi"/>
        </w:rPr>
        <w:t xml:space="preserve"> </w:t>
      </w:r>
      <w:r w:rsidRPr="009900B9">
        <w:rPr>
          <w:rFonts w:cstheme="minorHAnsi"/>
        </w:rPr>
        <w:t>τη</w:t>
      </w:r>
      <w:r>
        <w:rPr>
          <w:rFonts w:cstheme="minorHAnsi"/>
        </w:rPr>
        <w:t xml:space="preserve"> </w:t>
      </w:r>
      <w:r w:rsidRPr="009900B9">
        <w:rPr>
          <w:rFonts w:cstheme="minorHAnsi"/>
        </w:rPr>
        <w:t>μη</w:t>
      </w:r>
      <w:r>
        <w:rPr>
          <w:rFonts w:cstheme="minorHAnsi"/>
        </w:rPr>
        <w:t xml:space="preserve"> </w:t>
      </w:r>
      <w:r w:rsidRPr="009900B9">
        <w:rPr>
          <w:rFonts w:cstheme="minorHAnsi"/>
        </w:rPr>
        <w:t>σύγκρουση</w:t>
      </w:r>
      <w:r>
        <w:rPr>
          <w:rFonts w:cstheme="minorHAnsi"/>
        </w:rPr>
        <w:t xml:space="preserve"> </w:t>
      </w:r>
      <w:r w:rsidRPr="009900B9">
        <w:rPr>
          <w:rFonts w:cstheme="minorHAnsi"/>
        </w:rPr>
        <w:t>συμφερόντων</w:t>
      </w:r>
      <w:r>
        <w:rPr>
          <w:rFonts w:cstheme="minorHAnsi"/>
        </w:rPr>
        <w:t xml:space="preserve"> </w:t>
      </w:r>
      <w:r w:rsidRPr="009900B9">
        <w:rPr>
          <w:rFonts w:cstheme="minorHAnsi"/>
        </w:rPr>
        <w:t>των</w:t>
      </w:r>
      <w:r>
        <w:rPr>
          <w:rFonts w:cstheme="minorHAnsi"/>
        </w:rPr>
        <w:t xml:space="preserve"> </w:t>
      </w:r>
      <w:r w:rsidRPr="009900B9">
        <w:rPr>
          <w:rFonts w:cstheme="minorHAnsi"/>
        </w:rPr>
        <w:t>εμπλεκομένων</w:t>
      </w:r>
      <w:r>
        <w:rPr>
          <w:rFonts w:cstheme="minorHAnsi"/>
        </w:rPr>
        <w:t xml:space="preserve"> </w:t>
      </w:r>
      <w:r w:rsidRPr="009900B9">
        <w:rPr>
          <w:rFonts w:cstheme="minorHAnsi"/>
        </w:rPr>
        <w:t>σε</w:t>
      </w:r>
      <w:r>
        <w:rPr>
          <w:rFonts w:cstheme="minorHAnsi"/>
        </w:rPr>
        <w:t xml:space="preserve"> </w:t>
      </w:r>
      <w:r w:rsidRPr="009900B9">
        <w:rPr>
          <w:rFonts w:cstheme="minorHAnsi"/>
        </w:rPr>
        <w:t>όλα</w:t>
      </w:r>
      <w:r>
        <w:rPr>
          <w:rFonts w:cstheme="minorHAnsi"/>
        </w:rPr>
        <w:t xml:space="preserve"> </w:t>
      </w:r>
      <w:r w:rsidRPr="009900B9">
        <w:rPr>
          <w:rFonts w:cstheme="minorHAnsi"/>
        </w:rPr>
        <w:t>τα</w:t>
      </w:r>
      <w:r>
        <w:rPr>
          <w:rFonts w:cstheme="minorHAnsi"/>
        </w:rPr>
        <w:t xml:space="preserve"> </w:t>
      </w:r>
      <w:r w:rsidRPr="009900B9">
        <w:rPr>
          <w:rFonts w:cstheme="minorHAnsi"/>
        </w:rPr>
        <w:t>στάδια</w:t>
      </w:r>
      <w:r>
        <w:rPr>
          <w:rFonts w:cstheme="minorHAnsi"/>
        </w:rPr>
        <w:t xml:space="preserve"> </w:t>
      </w:r>
      <w:r w:rsidRPr="009900B9">
        <w:rPr>
          <w:rFonts w:cstheme="minorHAnsi"/>
        </w:rPr>
        <w:t>της</w:t>
      </w:r>
      <w:r>
        <w:rPr>
          <w:rFonts w:cstheme="minorHAnsi"/>
        </w:rPr>
        <w:t xml:space="preserve"> </w:t>
      </w:r>
      <w:r w:rsidRPr="009900B9">
        <w:rPr>
          <w:rFonts w:cstheme="minorHAnsi"/>
        </w:rPr>
        <w:t>διαγωνιστικής</w:t>
      </w:r>
      <w:r>
        <w:rPr>
          <w:rFonts w:cstheme="minorHAnsi"/>
        </w:rPr>
        <w:t xml:space="preserve"> </w:t>
      </w:r>
      <w:r w:rsidRPr="009900B9">
        <w:rPr>
          <w:rFonts w:cstheme="minorHAnsi"/>
        </w:rPr>
        <w:t>διαδικασίας</w:t>
      </w:r>
      <w:r>
        <w:rPr>
          <w:rFonts w:cstheme="minorHAnsi"/>
        </w:rPr>
        <w:t xml:space="preserve"> </w:t>
      </w:r>
      <w:r w:rsidRPr="009900B9">
        <w:rPr>
          <w:rFonts w:cstheme="minorHAnsi"/>
        </w:rPr>
        <w:t>μέχρι</w:t>
      </w:r>
      <w:r>
        <w:rPr>
          <w:rFonts w:cstheme="minorHAnsi"/>
        </w:rPr>
        <w:t xml:space="preserve"> </w:t>
      </w:r>
      <w:r w:rsidRPr="009900B9">
        <w:rPr>
          <w:rFonts w:cstheme="minorHAnsi"/>
        </w:rPr>
        <w:t>και</w:t>
      </w:r>
      <w:r>
        <w:rPr>
          <w:rFonts w:cstheme="minorHAnsi"/>
        </w:rPr>
        <w:t xml:space="preserve"> </w:t>
      </w:r>
      <w:r w:rsidRPr="009900B9">
        <w:rPr>
          <w:rFonts w:cstheme="minorHAnsi"/>
        </w:rPr>
        <w:t>την</w:t>
      </w:r>
      <w:r>
        <w:rPr>
          <w:rFonts w:cstheme="minorHAnsi"/>
        </w:rPr>
        <w:t xml:space="preserve"> </w:t>
      </w:r>
      <w:r w:rsidRPr="009900B9">
        <w:rPr>
          <w:rFonts w:cstheme="minorHAnsi"/>
        </w:rPr>
        <w:t>κατακύρωση</w:t>
      </w:r>
      <w:r>
        <w:rPr>
          <w:rFonts w:cstheme="minorHAnsi"/>
        </w:rPr>
        <w:t xml:space="preserve"> </w:t>
      </w:r>
      <w:r w:rsidRPr="009900B9">
        <w:rPr>
          <w:rFonts w:cstheme="minorHAnsi"/>
        </w:rPr>
        <w:t>του</w:t>
      </w:r>
      <w:r>
        <w:rPr>
          <w:rFonts w:cstheme="minorHAnsi"/>
        </w:rPr>
        <w:t xml:space="preserve"> </w:t>
      </w:r>
      <w:r w:rsidRPr="009900B9">
        <w:rPr>
          <w:rFonts w:cstheme="minorHAnsi"/>
        </w:rPr>
        <w:t>διαγωνισμού</w:t>
      </w:r>
      <w:r w:rsidRPr="00F16CE2">
        <w:rPr>
          <w:rFonts w:cstheme="minorHAnsi"/>
        </w:rPr>
        <w:t xml:space="preserve">, </w:t>
      </w:r>
      <w:r>
        <w:rPr>
          <w:rFonts w:cstheme="minorHAnsi"/>
        </w:rPr>
        <w:t>ήτοι η μη σύγκρουση συμφερόντων εξετάζεται σε</w:t>
      </w:r>
      <w:r w:rsidRPr="009E4203">
        <w:rPr>
          <w:rFonts w:cstheme="minorHAnsi"/>
          <w:color w:val="201F1E"/>
        </w:rPr>
        <w:t xml:space="preserve"> εκείνους που συμμετέχουν ή είναι υπεύθυνοι για τη διαδικασία ανάθεσης, καθώς και σ’ εκείνους που συμμετέχουν στις φάσεις αποσφράγισης και αξιολόγησης</w:t>
      </w:r>
      <w:r>
        <w:rPr>
          <w:rFonts w:cstheme="minorHAnsi"/>
          <w:color w:val="201F1E"/>
        </w:rPr>
        <w:t xml:space="preserve"> </w:t>
      </w:r>
      <w:r w:rsidR="004C7325">
        <w:rPr>
          <w:rFonts w:cstheme="minorHAnsi"/>
          <w:color w:val="201F1E"/>
        </w:rPr>
        <w:t>προσφορών</w:t>
      </w:r>
      <w:r w:rsidR="00136436">
        <w:rPr>
          <w:rFonts w:cstheme="minorHAnsi"/>
          <w:color w:val="201F1E"/>
        </w:rPr>
        <w:t xml:space="preserve"> </w:t>
      </w:r>
      <w:r>
        <w:rPr>
          <w:rFonts w:cstheme="minorHAnsi"/>
          <w:color w:val="201F1E"/>
        </w:rPr>
        <w:t>και σε εκείνους που συνδράμουν με  ειδικότερες γνώσεις  του</w:t>
      </w:r>
      <w:r w:rsidR="009F3BC0">
        <w:rPr>
          <w:rFonts w:cstheme="minorHAnsi"/>
          <w:color w:val="201F1E"/>
        </w:rPr>
        <w:t>ς</w:t>
      </w:r>
      <w:r>
        <w:rPr>
          <w:rFonts w:cstheme="minorHAnsi"/>
          <w:color w:val="201F1E"/>
        </w:rPr>
        <w:t xml:space="preserve"> ανωτέρω (π.χ. νομικός σύμβουλος, τεχνικός σύμβουλος, χρηματοοικονομικός σύμβουλος).</w:t>
      </w:r>
      <w:r w:rsidR="007C4E56">
        <w:rPr>
          <w:rFonts w:cstheme="minorHAnsi"/>
        </w:rPr>
        <w:t xml:space="preserve"> </w:t>
      </w:r>
      <w:r w:rsidR="00F71748" w:rsidRPr="009900B9">
        <w:rPr>
          <w:rFonts w:cstheme="minorHAnsi"/>
        </w:rPr>
        <w:t>Επισημαίνεται</w:t>
      </w:r>
      <w:r w:rsidR="007C4E56">
        <w:rPr>
          <w:rFonts w:cstheme="minorHAnsi"/>
        </w:rPr>
        <w:t xml:space="preserve"> </w:t>
      </w:r>
      <w:r w:rsidR="00F71748" w:rsidRPr="009900B9">
        <w:rPr>
          <w:rFonts w:cstheme="minorHAnsi"/>
        </w:rPr>
        <w:t>ότι</w:t>
      </w:r>
      <w:r w:rsidR="007C4E56">
        <w:rPr>
          <w:rFonts w:cstheme="minorHAnsi"/>
        </w:rPr>
        <w:t xml:space="preserve"> </w:t>
      </w:r>
      <w:r w:rsidR="00F71748" w:rsidRPr="009900B9">
        <w:rPr>
          <w:rFonts w:cstheme="minorHAnsi"/>
        </w:rPr>
        <w:t>ο</w:t>
      </w:r>
      <w:r w:rsidR="007C4E56">
        <w:rPr>
          <w:rFonts w:cstheme="minorHAnsi"/>
        </w:rPr>
        <w:t xml:space="preserve"> έ</w:t>
      </w:r>
      <w:r w:rsidR="00F71748" w:rsidRPr="009900B9">
        <w:rPr>
          <w:rFonts w:cstheme="minorHAnsi"/>
        </w:rPr>
        <w:t>λεγχος</w:t>
      </w:r>
      <w:r w:rsidR="007C4E56">
        <w:rPr>
          <w:rFonts w:cstheme="minorHAnsi"/>
        </w:rPr>
        <w:t xml:space="preserve"> </w:t>
      </w:r>
      <w:r w:rsidR="00F71748" w:rsidRPr="009900B9">
        <w:rPr>
          <w:rFonts w:cstheme="minorHAnsi"/>
        </w:rPr>
        <w:t>της</w:t>
      </w:r>
      <w:r w:rsidR="007C4E56">
        <w:rPr>
          <w:rFonts w:cstheme="minorHAnsi"/>
        </w:rPr>
        <w:t xml:space="preserve"> </w:t>
      </w:r>
      <w:r w:rsidR="00F71748" w:rsidRPr="009900B9">
        <w:rPr>
          <w:rFonts w:cstheme="minorHAnsi"/>
        </w:rPr>
        <w:t>ΕΥΣΤΑ</w:t>
      </w:r>
      <w:r w:rsidR="007C4E56">
        <w:rPr>
          <w:rFonts w:cstheme="minorHAnsi"/>
        </w:rPr>
        <w:t xml:space="preserve"> </w:t>
      </w:r>
      <w:r w:rsidR="00F71748" w:rsidRPr="009900B9">
        <w:rPr>
          <w:rFonts w:cstheme="minorHAnsi"/>
        </w:rPr>
        <w:t>σε</w:t>
      </w:r>
      <w:r w:rsidR="007C4E56">
        <w:rPr>
          <w:rFonts w:cstheme="minorHAnsi"/>
        </w:rPr>
        <w:t xml:space="preserve"> </w:t>
      </w:r>
      <w:r w:rsidR="00F71748" w:rsidRPr="009900B9">
        <w:rPr>
          <w:rFonts w:cstheme="minorHAnsi"/>
        </w:rPr>
        <w:t>καμία</w:t>
      </w:r>
      <w:r w:rsidR="007C4E56">
        <w:rPr>
          <w:rFonts w:cstheme="minorHAnsi"/>
        </w:rPr>
        <w:t xml:space="preserve"> </w:t>
      </w:r>
      <w:r w:rsidR="00F71748" w:rsidRPr="009900B9">
        <w:rPr>
          <w:rFonts w:cstheme="minorHAnsi"/>
        </w:rPr>
        <w:t>περίπτωση</w:t>
      </w:r>
      <w:r w:rsidR="007C4E56">
        <w:rPr>
          <w:rFonts w:cstheme="minorHAnsi"/>
        </w:rPr>
        <w:t xml:space="preserve"> </w:t>
      </w:r>
      <w:r w:rsidR="00F71748" w:rsidRPr="009900B9">
        <w:rPr>
          <w:rFonts w:cstheme="minorHAnsi"/>
        </w:rPr>
        <w:t>δεν</w:t>
      </w:r>
      <w:r w:rsidR="007C4E56">
        <w:rPr>
          <w:rFonts w:cstheme="minorHAnsi"/>
        </w:rPr>
        <w:t xml:space="preserve"> </w:t>
      </w:r>
      <w:r w:rsidR="00F71748" w:rsidRPr="009900B9">
        <w:rPr>
          <w:rFonts w:cstheme="minorHAnsi"/>
        </w:rPr>
        <w:t>υποκαθιστά</w:t>
      </w:r>
      <w:r w:rsidR="007C4E56">
        <w:rPr>
          <w:rFonts w:cstheme="minorHAnsi"/>
        </w:rPr>
        <w:t xml:space="preserve"> </w:t>
      </w:r>
      <w:r w:rsidR="00F71748" w:rsidRPr="009900B9">
        <w:rPr>
          <w:rFonts w:cstheme="minorHAnsi"/>
        </w:rPr>
        <w:t>την</w:t>
      </w:r>
      <w:r w:rsidR="007C4E56">
        <w:rPr>
          <w:rFonts w:cstheme="minorHAnsi"/>
        </w:rPr>
        <w:t xml:space="preserve"> </w:t>
      </w:r>
      <w:r w:rsidR="00F71748" w:rsidRPr="009900B9">
        <w:rPr>
          <w:rFonts w:cstheme="minorHAnsi"/>
        </w:rPr>
        <w:t>υποχρέωση</w:t>
      </w:r>
      <w:r w:rsidR="007C4E56">
        <w:rPr>
          <w:rFonts w:cstheme="minorHAnsi"/>
        </w:rPr>
        <w:t xml:space="preserve"> </w:t>
      </w:r>
      <w:r w:rsidR="00F71748" w:rsidRPr="009900B9">
        <w:rPr>
          <w:rFonts w:cstheme="minorHAnsi"/>
        </w:rPr>
        <w:t>της</w:t>
      </w:r>
      <w:r w:rsidR="007C4E56">
        <w:rPr>
          <w:rFonts w:cstheme="minorHAnsi"/>
        </w:rPr>
        <w:t xml:space="preserve"> </w:t>
      </w:r>
      <w:r w:rsidR="00F71748" w:rsidRPr="009900B9">
        <w:rPr>
          <w:rFonts w:cstheme="minorHAnsi"/>
        </w:rPr>
        <w:t>αναθέτουσας</w:t>
      </w:r>
      <w:r w:rsidR="007C4E56">
        <w:rPr>
          <w:rFonts w:cstheme="minorHAnsi"/>
        </w:rPr>
        <w:t xml:space="preserve"> </w:t>
      </w:r>
      <w:r w:rsidR="00F71748" w:rsidRPr="009900B9">
        <w:rPr>
          <w:rFonts w:cstheme="minorHAnsi"/>
        </w:rPr>
        <w:t>αρχής</w:t>
      </w:r>
      <w:r w:rsidR="007C4E56">
        <w:rPr>
          <w:rFonts w:cstheme="minorHAnsi"/>
        </w:rPr>
        <w:t xml:space="preserve"> </w:t>
      </w:r>
      <w:r w:rsidR="00F71748" w:rsidRPr="009900B9">
        <w:rPr>
          <w:rFonts w:cstheme="minorHAnsi"/>
        </w:rPr>
        <w:t>για</w:t>
      </w:r>
      <w:r w:rsidR="007C4E56">
        <w:rPr>
          <w:rFonts w:cstheme="minorHAnsi"/>
        </w:rPr>
        <w:t xml:space="preserve"> </w:t>
      </w:r>
      <w:r w:rsidR="00F71748" w:rsidRPr="009900B9">
        <w:rPr>
          <w:rFonts w:cstheme="minorHAnsi"/>
        </w:rPr>
        <w:t>τη</w:t>
      </w:r>
      <w:r w:rsidR="007C4E56">
        <w:rPr>
          <w:rFonts w:cstheme="minorHAnsi"/>
        </w:rPr>
        <w:t xml:space="preserve"> </w:t>
      </w:r>
      <w:r w:rsidR="00F71748" w:rsidRPr="009900B9">
        <w:rPr>
          <w:rFonts w:cstheme="minorHAnsi"/>
        </w:rPr>
        <w:t>λήψη</w:t>
      </w:r>
      <w:r w:rsidR="007C4E56">
        <w:rPr>
          <w:rFonts w:cstheme="minorHAnsi"/>
        </w:rPr>
        <w:t xml:space="preserve"> </w:t>
      </w:r>
      <w:r w:rsidR="00F71748" w:rsidRPr="009900B9">
        <w:rPr>
          <w:rFonts w:cstheme="minorHAnsi"/>
        </w:rPr>
        <w:t>μέτρων</w:t>
      </w:r>
      <w:r w:rsidR="007C4E56">
        <w:rPr>
          <w:rFonts w:cstheme="minorHAnsi"/>
        </w:rPr>
        <w:t xml:space="preserve"> </w:t>
      </w:r>
      <w:r w:rsidR="00F71748" w:rsidRPr="009900B9">
        <w:rPr>
          <w:rFonts w:cstheme="minorHAnsi"/>
        </w:rPr>
        <w:t>για</w:t>
      </w:r>
      <w:r w:rsidR="007C4E56">
        <w:rPr>
          <w:rFonts w:cstheme="minorHAnsi"/>
        </w:rPr>
        <w:t xml:space="preserve"> </w:t>
      </w:r>
      <w:r w:rsidR="00F71748" w:rsidRPr="009900B9">
        <w:rPr>
          <w:rFonts w:cstheme="minorHAnsi"/>
        </w:rPr>
        <w:t>την</w:t>
      </w:r>
      <w:r w:rsidR="007C4E56">
        <w:rPr>
          <w:rFonts w:cstheme="minorHAnsi"/>
        </w:rPr>
        <w:t xml:space="preserve"> </w:t>
      </w:r>
      <w:r w:rsidR="00F71748" w:rsidRPr="009900B9">
        <w:rPr>
          <w:rFonts w:cstheme="minorHAnsi"/>
        </w:rPr>
        <w:t>αποτελεσματική</w:t>
      </w:r>
      <w:r w:rsidR="007C4E56">
        <w:rPr>
          <w:rFonts w:cstheme="minorHAnsi"/>
        </w:rPr>
        <w:t xml:space="preserve"> </w:t>
      </w:r>
      <w:r w:rsidR="00F71748" w:rsidRPr="009900B9">
        <w:rPr>
          <w:rFonts w:cstheme="minorHAnsi"/>
        </w:rPr>
        <w:t>πρόληψη,</w:t>
      </w:r>
      <w:r w:rsidR="007C4E56">
        <w:rPr>
          <w:rFonts w:cstheme="minorHAnsi"/>
        </w:rPr>
        <w:t xml:space="preserve"> </w:t>
      </w:r>
      <w:r w:rsidR="00F71748" w:rsidRPr="009900B9">
        <w:rPr>
          <w:rFonts w:cstheme="minorHAnsi"/>
        </w:rPr>
        <w:t>τον</w:t>
      </w:r>
      <w:r w:rsidR="007C4E56">
        <w:rPr>
          <w:rFonts w:cstheme="minorHAnsi"/>
        </w:rPr>
        <w:t xml:space="preserve"> </w:t>
      </w:r>
      <w:r w:rsidR="00F71748" w:rsidRPr="009900B9">
        <w:rPr>
          <w:rFonts w:cstheme="minorHAnsi"/>
        </w:rPr>
        <w:t>εντοπισμό</w:t>
      </w:r>
      <w:r w:rsidR="007C4E56">
        <w:rPr>
          <w:rFonts w:cstheme="minorHAnsi"/>
        </w:rPr>
        <w:t xml:space="preserve"> </w:t>
      </w:r>
      <w:r w:rsidR="00F71748" w:rsidRPr="009900B9">
        <w:rPr>
          <w:rFonts w:cstheme="minorHAnsi"/>
        </w:rPr>
        <w:t>και</w:t>
      </w:r>
      <w:r w:rsidR="007C4E56">
        <w:rPr>
          <w:rFonts w:cstheme="minorHAnsi"/>
        </w:rPr>
        <w:t xml:space="preserve"> </w:t>
      </w:r>
      <w:r w:rsidR="00F71748" w:rsidRPr="009900B9">
        <w:rPr>
          <w:rFonts w:cstheme="minorHAnsi"/>
        </w:rPr>
        <w:t>την</w:t>
      </w:r>
      <w:r w:rsidR="007C4E56">
        <w:rPr>
          <w:rFonts w:cstheme="minorHAnsi"/>
        </w:rPr>
        <w:t xml:space="preserve"> </w:t>
      </w:r>
      <w:r w:rsidR="00F71748" w:rsidRPr="009900B9">
        <w:rPr>
          <w:rFonts w:cstheme="minorHAnsi"/>
        </w:rPr>
        <w:t>επανόρθωση</w:t>
      </w:r>
      <w:r w:rsidR="007C4E56">
        <w:rPr>
          <w:rFonts w:cstheme="minorHAnsi"/>
        </w:rPr>
        <w:t xml:space="preserve"> </w:t>
      </w:r>
      <w:r w:rsidR="00F71748" w:rsidRPr="009900B9">
        <w:rPr>
          <w:rFonts w:cstheme="minorHAnsi"/>
        </w:rPr>
        <w:t>συγκρούσεων</w:t>
      </w:r>
      <w:r w:rsidR="007C4E56">
        <w:rPr>
          <w:rFonts w:cstheme="minorHAnsi"/>
        </w:rPr>
        <w:t xml:space="preserve"> </w:t>
      </w:r>
      <w:r w:rsidR="00F71748" w:rsidRPr="009900B9">
        <w:rPr>
          <w:rFonts w:cstheme="minorHAnsi"/>
        </w:rPr>
        <w:t>συμφερόντων,</w:t>
      </w:r>
      <w:r w:rsidR="007C4E56">
        <w:rPr>
          <w:rFonts w:cstheme="minorHAnsi"/>
        </w:rPr>
        <w:t xml:space="preserve"> </w:t>
      </w:r>
      <w:r w:rsidR="006056F4">
        <w:rPr>
          <w:rFonts w:cstheme="minorHAnsi"/>
        </w:rPr>
        <w:t xml:space="preserve"> που</w:t>
      </w:r>
      <w:r w:rsidR="007C4E56">
        <w:rPr>
          <w:rFonts w:cstheme="minorHAnsi"/>
        </w:rPr>
        <w:t xml:space="preserve"> </w:t>
      </w:r>
      <w:r w:rsidR="00F71748" w:rsidRPr="009900B9">
        <w:rPr>
          <w:rFonts w:cstheme="minorHAnsi"/>
        </w:rPr>
        <w:t>ρητά</w:t>
      </w:r>
      <w:r w:rsidR="007C4E56">
        <w:rPr>
          <w:rFonts w:cstheme="minorHAnsi"/>
        </w:rPr>
        <w:t xml:space="preserve"> </w:t>
      </w:r>
      <w:r w:rsidR="00F71748" w:rsidRPr="009900B9">
        <w:rPr>
          <w:rFonts w:cstheme="minorHAnsi"/>
        </w:rPr>
        <w:t>προβλέπεται</w:t>
      </w:r>
      <w:r w:rsidR="007C4E56">
        <w:rPr>
          <w:rFonts w:cstheme="minorHAnsi"/>
        </w:rPr>
        <w:t xml:space="preserve"> </w:t>
      </w:r>
      <w:r w:rsidR="00F71748" w:rsidRPr="009900B9">
        <w:rPr>
          <w:rFonts w:cstheme="minorHAnsi"/>
        </w:rPr>
        <w:t>από</w:t>
      </w:r>
      <w:r w:rsidR="007C4E56">
        <w:rPr>
          <w:rFonts w:cstheme="minorHAnsi"/>
        </w:rPr>
        <w:t xml:space="preserve"> </w:t>
      </w:r>
      <w:r w:rsidR="00F71748" w:rsidRPr="009900B9">
        <w:rPr>
          <w:rFonts w:cstheme="minorHAnsi"/>
        </w:rPr>
        <w:t>τις</w:t>
      </w:r>
      <w:r w:rsidR="007C4E56">
        <w:rPr>
          <w:rFonts w:cstheme="minorHAnsi"/>
        </w:rPr>
        <w:t xml:space="preserve"> </w:t>
      </w:r>
      <w:r w:rsidR="00F71748" w:rsidRPr="009900B9">
        <w:rPr>
          <w:rFonts w:cstheme="minorHAnsi"/>
        </w:rPr>
        <w:t>διατάξεις</w:t>
      </w:r>
      <w:r w:rsidR="007C4E56">
        <w:rPr>
          <w:rFonts w:cstheme="minorHAnsi"/>
        </w:rPr>
        <w:t xml:space="preserve"> </w:t>
      </w:r>
      <w:r w:rsidR="00F71748" w:rsidRPr="009900B9">
        <w:rPr>
          <w:rFonts w:cstheme="minorHAnsi"/>
        </w:rPr>
        <w:t>του</w:t>
      </w:r>
      <w:r w:rsidR="007C4E56">
        <w:rPr>
          <w:rFonts w:cstheme="minorHAnsi"/>
        </w:rPr>
        <w:t xml:space="preserve"> </w:t>
      </w:r>
      <w:r w:rsidR="00F71748" w:rsidRPr="009900B9">
        <w:rPr>
          <w:rFonts w:cstheme="minorHAnsi"/>
        </w:rPr>
        <w:t>άρθρου</w:t>
      </w:r>
      <w:r w:rsidR="007C4E56">
        <w:rPr>
          <w:rFonts w:cstheme="minorHAnsi"/>
        </w:rPr>
        <w:t xml:space="preserve"> </w:t>
      </w:r>
      <w:r w:rsidR="00F71748" w:rsidRPr="009900B9">
        <w:rPr>
          <w:rFonts w:cstheme="minorHAnsi"/>
        </w:rPr>
        <w:t>24</w:t>
      </w:r>
      <w:r w:rsidR="007C4E56">
        <w:rPr>
          <w:rFonts w:cstheme="minorHAnsi"/>
        </w:rPr>
        <w:t xml:space="preserve"> </w:t>
      </w:r>
      <w:r w:rsidR="00F71748" w:rsidRPr="009900B9">
        <w:rPr>
          <w:rFonts w:cstheme="minorHAnsi"/>
        </w:rPr>
        <w:t>του</w:t>
      </w:r>
      <w:r w:rsidR="007C4E56">
        <w:rPr>
          <w:rFonts w:cstheme="minorHAnsi"/>
        </w:rPr>
        <w:t xml:space="preserve"> </w:t>
      </w:r>
      <w:r w:rsidR="00F71748" w:rsidRPr="009900B9">
        <w:rPr>
          <w:rFonts w:cstheme="minorHAnsi"/>
        </w:rPr>
        <w:t>ν.4412/16,</w:t>
      </w:r>
      <w:r w:rsidR="007C4E56">
        <w:rPr>
          <w:rFonts w:cstheme="minorHAnsi"/>
        </w:rPr>
        <w:t xml:space="preserve"> </w:t>
      </w:r>
      <w:r w:rsidR="00F71748" w:rsidRPr="009900B9">
        <w:rPr>
          <w:rFonts w:cstheme="minorHAnsi"/>
        </w:rPr>
        <w:t>ως</w:t>
      </w:r>
      <w:r w:rsidR="007C4E56">
        <w:rPr>
          <w:rFonts w:cstheme="minorHAnsi"/>
        </w:rPr>
        <w:t xml:space="preserve"> </w:t>
      </w:r>
      <w:r w:rsidR="00F71748" w:rsidRPr="009900B9">
        <w:rPr>
          <w:rFonts w:cstheme="minorHAnsi"/>
        </w:rPr>
        <w:t>ισχύει</w:t>
      </w:r>
      <w:r w:rsidR="00F71748">
        <w:rPr>
          <w:rFonts w:cstheme="minorHAnsi"/>
        </w:rPr>
        <w:t>.</w:t>
      </w:r>
    </w:p>
    <w:p w14:paraId="7D7303FB" w14:textId="001D35F8" w:rsidR="00A14F96" w:rsidRDefault="00F71748" w:rsidP="00A14F96">
      <w:pPr>
        <w:jc w:val="both"/>
        <w:rPr>
          <w:rFonts w:cstheme="minorHAnsi"/>
        </w:rPr>
      </w:pPr>
      <w:r w:rsidRPr="009900B9">
        <w:rPr>
          <w:rFonts w:cstheme="minorHAnsi"/>
        </w:rPr>
        <w:t xml:space="preserve">Όσον αφορά τους </w:t>
      </w:r>
      <w:r w:rsidRPr="00A61580">
        <w:rPr>
          <w:rFonts w:cstheme="minorHAnsi"/>
          <w:u w:val="single"/>
        </w:rPr>
        <w:t>εκ των προτέρων ελέγχους (ex-ante checks)</w:t>
      </w:r>
      <w:r w:rsidRPr="009900B9">
        <w:rPr>
          <w:rFonts w:cstheme="minorHAnsi"/>
        </w:rPr>
        <w:t xml:space="preserve"> που διενεργεί η ΕΥΣΤΑ στις συμβάσεις, αυτοί διενεργούνται κατόπιν επιλογής δείγματος</w:t>
      </w:r>
      <w:r w:rsidR="00A14F96">
        <w:rPr>
          <w:rFonts w:cstheme="minorHAnsi"/>
        </w:rPr>
        <w:t xml:space="preserve">, το οποίο </w:t>
      </w:r>
      <w:r w:rsidR="00F32115">
        <w:rPr>
          <w:rFonts w:cstheme="minorHAnsi"/>
        </w:rPr>
        <w:t>π</w:t>
      </w:r>
      <w:r w:rsidR="00136436">
        <w:rPr>
          <w:rFonts w:cstheme="minorHAnsi"/>
        </w:rPr>
        <w:t>ροσδιορίζεται</w:t>
      </w:r>
      <w:r w:rsidR="00A14F96">
        <w:rPr>
          <w:rFonts w:cstheme="minorHAnsi"/>
        </w:rPr>
        <w:t xml:space="preserve"> εφαρμόζοντας </w:t>
      </w:r>
      <w:r w:rsidR="00A14F96">
        <w:rPr>
          <w:rFonts w:cstheme="minorHAnsi"/>
          <w:lang w:val="en-GB"/>
        </w:rPr>
        <w:t>M</w:t>
      </w:r>
      <w:r w:rsidR="00A14F96">
        <w:rPr>
          <w:rFonts w:cstheme="minorHAnsi"/>
        </w:rPr>
        <w:t xml:space="preserve">έθοδο </w:t>
      </w:r>
      <w:r w:rsidR="00A14F96">
        <w:rPr>
          <w:rFonts w:cstheme="minorHAnsi"/>
          <w:lang w:val="en-GB"/>
        </w:rPr>
        <w:t>A</w:t>
      </w:r>
      <w:r w:rsidR="00A14F96">
        <w:rPr>
          <w:rFonts w:cstheme="minorHAnsi"/>
        </w:rPr>
        <w:t xml:space="preserve">ξιολόγησης </w:t>
      </w:r>
      <w:r w:rsidR="00A14F96">
        <w:rPr>
          <w:rFonts w:cstheme="minorHAnsi"/>
          <w:lang w:val="en-GB"/>
        </w:rPr>
        <w:t>K</w:t>
      </w:r>
      <w:r w:rsidR="00A14F96">
        <w:rPr>
          <w:rFonts w:cstheme="minorHAnsi"/>
        </w:rPr>
        <w:t>ινδύνων (</w:t>
      </w:r>
      <w:r w:rsidR="00A14F96">
        <w:rPr>
          <w:rFonts w:cstheme="minorHAnsi"/>
          <w:lang w:val="en-GB"/>
        </w:rPr>
        <w:t>Risk</w:t>
      </w:r>
      <w:r w:rsidR="00A14F96" w:rsidRPr="0027393C">
        <w:rPr>
          <w:rFonts w:cstheme="minorHAnsi"/>
        </w:rPr>
        <w:t>-</w:t>
      </w:r>
      <w:r w:rsidR="00A14F96">
        <w:rPr>
          <w:rFonts w:cstheme="minorHAnsi"/>
          <w:lang w:val="en-GB"/>
        </w:rPr>
        <w:t>based</w:t>
      </w:r>
      <w:r w:rsidR="00A14F96" w:rsidRPr="0027393C">
        <w:rPr>
          <w:rFonts w:cstheme="minorHAnsi"/>
        </w:rPr>
        <w:t xml:space="preserve"> </w:t>
      </w:r>
      <w:r w:rsidR="00A14F96">
        <w:rPr>
          <w:rFonts w:cstheme="minorHAnsi"/>
          <w:lang w:val="en-GB"/>
        </w:rPr>
        <w:t>analysis</w:t>
      </w:r>
      <w:r w:rsidR="00A14F96">
        <w:rPr>
          <w:rFonts w:cstheme="minorHAnsi"/>
        </w:rPr>
        <w:t>)</w:t>
      </w:r>
      <w:r w:rsidR="00A14F96" w:rsidRPr="0027393C">
        <w:rPr>
          <w:rFonts w:cstheme="minorHAnsi"/>
        </w:rPr>
        <w:t xml:space="preserve">. Η Μέθοδος αυτή </w:t>
      </w:r>
      <w:r w:rsidR="009E56E9">
        <w:rPr>
          <w:rFonts w:cstheme="minorHAnsi"/>
        </w:rPr>
        <w:t>επαναξιολογείται</w:t>
      </w:r>
      <w:r w:rsidR="00A14F96" w:rsidRPr="0027393C">
        <w:rPr>
          <w:rFonts w:cstheme="minorHAnsi"/>
        </w:rPr>
        <w:t xml:space="preserve"> τουλάχιστον μία φορά </w:t>
      </w:r>
      <w:r w:rsidR="00A14F96">
        <w:rPr>
          <w:rFonts w:cstheme="minorHAnsi"/>
        </w:rPr>
        <w:t>ανά έτος</w:t>
      </w:r>
      <w:r w:rsidR="00A14F96" w:rsidRPr="0027393C">
        <w:rPr>
          <w:rFonts w:cstheme="minorHAnsi"/>
        </w:rPr>
        <w:t xml:space="preserve"> και περιλαμβάνει </w:t>
      </w:r>
      <w:r w:rsidR="006D6230">
        <w:rPr>
          <w:rFonts w:cstheme="minorHAnsi"/>
        </w:rPr>
        <w:t xml:space="preserve">τον προσδιορισμό και αξιολόγηση συγκεκριμένων Παραμέτρων Κινδύνου </w:t>
      </w:r>
      <w:r w:rsidR="006D6230" w:rsidRPr="004A1107">
        <w:rPr>
          <w:rFonts w:cstheme="minorHAnsi"/>
          <w:i/>
          <w:iCs/>
        </w:rPr>
        <w:t>(Risk</w:t>
      </w:r>
      <w:r w:rsidR="006D6230" w:rsidRPr="0079767B">
        <w:rPr>
          <w:rFonts w:cstheme="minorHAnsi"/>
          <w:i/>
          <w:iCs/>
        </w:rPr>
        <w:t xml:space="preserve"> </w:t>
      </w:r>
      <w:r w:rsidR="006D6230">
        <w:rPr>
          <w:rFonts w:cstheme="minorHAnsi"/>
          <w:i/>
          <w:iCs/>
          <w:lang w:val="en-GB"/>
        </w:rPr>
        <w:t>Factors</w:t>
      </w:r>
      <w:r w:rsidR="006D6230" w:rsidRPr="004A1107">
        <w:rPr>
          <w:rFonts w:cstheme="minorHAnsi"/>
          <w:i/>
          <w:iCs/>
        </w:rPr>
        <w:t>)</w:t>
      </w:r>
      <w:r w:rsidR="006D6230" w:rsidRPr="0079767B">
        <w:rPr>
          <w:rFonts w:cstheme="minorHAnsi"/>
          <w:i/>
          <w:iCs/>
        </w:rPr>
        <w:t xml:space="preserve"> </w:t>
      </w:r>
      <w:r w:rsidR="006D6230">
        <w:rPr>
          <w:rFonts w:cstheme="minorHAnsi"/>
          <w:i/>
          <w:iCs/>
        </w:rPr>
        <w:t xml:space="preserve"> </w:t>
      </w:r>
      <w:r w:rsidR="006D6230">
        <w:rPr>
          <w:rFonts w:cstheme="minorHAnsi"/>
        </w:rPr>
        <w:t>που συνδέονται με τους</w:t>
      </w:r>
      <w:r w:rsidR="00A14F96" w:rsidRPr="0027393C">
        <w:rPr>
          <w:rFonts w:cstheme="minorHAnsi"/>
        </w:rPr>
        <w:t xml:space="preserve"> φορ</w:t>
      </w:r>
      <w:r w:rsidR="006D6230">
        <w:rPr>
          <w:rFonts w:cstheme="minorHAnsi"/>
        </w:rPr>
        <w:t>είς</w:t>
      </w:r>
      <w:r w:rsidR="00A14F96" w:rsidRPr="0027393C">
        <w:rPr>
          <w:rFonts w:cstheme="minorHAnsi"/>
        </w:rPr>
        <w:t xml:space="preserve"> </w:t>
      </w:r>
      <w:r w:rsidR="00A14F96">
        <w:rPr>
          <w:rFonts w:cstheme="minorHAnsi"/>
        </w:rPr>
        <w:t>υλοποίησης</w:t>
      </w:r>
      <w:r w:rsidR="008B444A">
        <w:rPr>
          <w:rFonts w:cstheme="minorHAnsi"/>
        </w:rPr>
        <w:t>, τα χαρακτηριστικά της προς ανάθεση σύμβασης και τη διαδικασία ανάθεσης</w:t>
      </w:r>
      <w:r w:rsidR="00A14F96" w:rsidRPr="0027393C">
        <w:rPr>
          <w:rFonts w:cstheme="minorHAnsi"/>
        </w:rPr>
        <w:t>.</w:t>
      </w:r>
    </w:p>
    <w:p w14:paraId="6A6ADCBB" w14:textId="0A08C1EC" w:rsidR="00623EFC" w:rsidRPr="000C20E7" w:rsidRDefault="00623EFC" w:rsidP="00623EFC">
      <w:pPr>
        <w:spacing w:before="120" w:after="120" w:line="280" w:lineRule="exact"/>
        <w:jc w:val="both"/>
        <w:rPr>
          <w:rFonts w:cstheme="minorHAnsi"/>
        </w:rPr>
      </w:pPr>
      <w:r w:rsidRPr="000C20E7">
        <w:rPr>
          <w:rFonts w:cstheme="minorHAnsi"/>
        </w:rPr>
        <w:t xml:space="preserve">Η Μεθοδολογία </w:t>
      </w:r>
      <w:r>
        <w:rPr>
          <w:rFonts w:cstheme="minorHAnsi"/>
          <w:lang w:val="en-GB"/>
        </w:rPr>
        <w:t>A</w:t>
      </w:r>
      <w:r>
        <w:rPr>
          <w:rFonts w:cstheme="minorHAnsi"/>
        </w:rPr>
        <w:t xml:space="preserve">ξιολόγησης </w:t>
      </w:r>
      <w:r>
        <w:rPr>
          <w:rFonts w:cstheme="minorHAnsi"/>
          <w:lang w:val="en-GB"/>
        </w:rPr>
        <w:t>K</w:t>
      </w:r>
      <w:r>
        <w:rPr>
          <w:rFonts w:cstheme="minorHAnsi"/>
        </w:rPr>
        <w:t xml:space="preserve">ινδύνων που έχει αναπτυχθεί από την ΕΥΣΤΑ </w:t>
      </w:r>
      <w:r w:rsidRPr="000C20E7">
        <w:rPr>
          <w:rFonts w:cstheme="minorHAnsi"/>
        </w:rPr>
        <w:t>στηρίζεται αφενός στην εκτίμηση του κινδύνου κάθε φορέα υλοποίησης, ως αναθέτουσας αρχή σύμβασης και αφετέρου στην εκτίμηση του κινδύνου κάθε σύμβασης που αυτός προτίθεται να αναθέσει (</w:t>
      </w:r>
      <w:r w:rsidRPr="000C20E7">
        <w:rPr>
          <w:rFonts w:cstheme="minorHAnsi"/>
          <w:lang w:val="en-GB"/>
        </w:rPr>
        <w:t>ex</w:t>
      </w:r>
      <w:r w:rsidRPr="000C20E7">
        <w:rPr>
          <w:rFonts w:cstheme="minorHAnsi"/>
        </w:rPr>
        <w:t>-</w:t>
      </w:r>
      <w:r w:rsidRPr="000C20E7">
        <w:rPr>
          <w:rFonts w:cstheme="minorHAnsi"/>
          <w:lang w:val="en-GB"/>
        </w:rPr>
        <w:t>ante</w:t>
      </w:r>
      <w:r w:rsidRPr="000C20E7">
        <w:rPr>
          <w:rFonts w:cstheme="minorHAnsi"/>
        </w:rPr>
        <w:t xml:space="preserve">) στο πλαίσιο υλοποίησης Δράσεων και Έργων του ΤΑΑ. </w:t>
      </w:r>
    </w:p>
    <w:p w14:paraId="20A2DE5B" w14:textId="1F5591E6" w:rsidR="00623EFC" w:rsidRPr="000C20E7" w:rsidRDefault="00623EFC" w:rsidP="00623EFC">
      <w:pPr>
        <w:spacing w:before="120" w:after="120" w:line="280" w:lineRule="exact"/>
        <w:jc w:val="both"/>
        <w:rPr>
          <w:rFonts w:cstheme="minorHAnsi"/>
        </w:rPr>
      </w:pPr>
      <w:r w:rsidRPr="000C20E7">
        <w:rPr>
          <w:rFonts w:cstheme="minorHAnsi"/>
        </w:rPr>
        <w:lastRenderedPageBreak/>
        <w:t xml:space="preserve">Βάσει σχεδιασμού, η αξιολόγηση των κινδύνων γίνεται αυτόματα από το ΟΠΣ ΤΑ, επί τη βάσει προκαθορισμένων παραγόντων κινδύνου (k), οι οποίοι βαθμολογούνται σε μια τετραβάθμια κλίμακα, με σαφώς καθορισμένα κριτήρια (1: πολύ χαμηλός κίνδυνος…, 4: υψηλός κίνδυνος). </w:t>
      </w:r>
    </w:p>
    <w:p w14:paraId="057F8E05" w14:textId="19FF15D2" w:rsidR="00623EFC" w:rsidRDefault="00623EFC" w:rsidP="00623EFC">
      <w:pPr>
        <w:jc w:val="both"/>
        <w:rPr>
          <w:rFonts w:cstheme="minorHAnsi"/>
        </w:rPr>
      </w:pPr>
      <w:r w:rsidRPr="000C20E7">
        <w:rPr>
          <w:rFonts w:cstheme="minorHAnsi"/>
        </w:rPr>
        <w:t xml:space="preserve">Για κάθε φορέα υπολογίζεται το άθροισμα των βαθμών όλων των παραγόντων (εγγενούς) κινδύνου διαιρεμένο με τη μέγιστη δυνατή τιμή αυτού του αθροίσματος, η οποία ισούται με 4k. Πρόκειται για παράγοντες κινδύνου οι οποίοι σχετίζονται με τη φύση και την πολυπλοκότητα του κάθε φορέα,  τη σημαντικότητα αυτού για το ΕΣΑΑ, ακόμα και την προηγούμενη εμπειρία του. </w:t>
      </w:r>
    </w:p>
    <w:p w14:paraId="6885BDE9" w14:textId="77777777" w:rsidR="00623EFC" w:rsidRPr="000C20E7" w:rsidRDefault="00623EFC" w:rsidP="00623EFC">
      <w:pPr>
        <w:spacing w:before="120" w:after="120" w:line="280" w:lineRule="exact"/>
        <w:jc w:val="both"/>
        <w:rPr>
          <w:rFonts w:cstheme="minorHAnsi"/>
        </w:rPr>
      </w:pPr>
      <w:r>
        <w:rPr>
          <w:rFonts w:cstheme="minorHAnsi"/>
        </w:rPr>
        <w:t>Αντίστοιχη</w:t>
      </w:r>
      <w:r w:rsidRPr="000C20E7">
        <w:rPr>
          <w:rFonts w:cstheme="minorHAnsi"/>
        </w:rPr>
        <w:t xml:space="preserve"> αξιολόγηση πραγματοποιείται, με την ίδια υπολογιστική βάση, και για προκαθορισμένους κινδύνους που έχουν προσδιορισθεί αναφορικά με συμβάσεις που </w:t>
      </w:r>
      <w:r>
        <w:rPr>
          <w:rFonts w:cstheme="minorHAnsi"/>
        </w:rPr>
        <w:t xml:space="preserve">συνάπτονται </w:t>
      </w:r>
      <w:r w:rsidRPr="000C20E7">
        <w:rPr>
          <w:rFonts w:cstheme="minorHAnsi"/>
        </w:rPr>
        <w:t xml:space="preserve">στο πλαίσιο υλοποίησης των έργων του ΕΣΑΑ. </w:t>
      </w:r>
    </w:p>
    <w:p w14:paraId="6DD37E91" w14:textId="7860903B" w:rsidR="00623EFC" w:rsidRPr="000C20E7" w:rsidRDefault="00623EFC" w:rsidP="00623EFC">
      <w:pPr>
        <w:spacing w:before="120" w:after="120" w:line="280" w:lineRule="exact"/>
        <w:jc w:val="both"/>
        <w:rPr>
          <w:rFonts w:cstheme="minorHAnsi"/>
        </w:rPr>
      </w:pPr>
      <w:r w:rsidRPr="000C20E7">
        <w:rPr>
          <w:rFonts w:cstheme="minorHAnsi"/>
        </w:rPr>
        <w:t>Εν συνεχεία υπολογίζεται ο σταθμικός μέσος της πιθανότητας κινδύνου του ΦΥ και της Σύμβασης που υλοποιεί (αποδίδοντας μεγαλύτερο συντελεστή βαρύτητας στον ΦΥ)</w:t>
      </w:r>
      <w:r>
        <w:rPr>
          <w:rFonts w:cstheme="minorHAnsi"/>
        </w:rPr>
        <w:t xml:space="preserve">. Στις περιπτώσεις εκείνες </w:t>
      </w:r>
      <w:r w:rsidRPr="000C20E7">
        <w:rPr>
          <w:rFonts w:cstheme="minorHAnsi"/>
        </w:rPr>
        <w:t xml:space="preserve">όπου ο κίνδυνος που προκύπτει είναι </w:t>
      </w:r>
      <w:r w:rsidR="00DC1B25">
        <w:rPr>
          <w:rFonts w:cstheme="minorHAnsi"/>
        </w:rPr>
        <w:t>μεγαλύτερος ή ίσος</w:t>
      </w:r>
      <w:r w:rsidRPr="000C20E7">
        <w:rPr>
          <w:rFonts w:cstheme="minorHAnsi"/>
        </w:rPr>
        <w:t xml:space="preserve"> </w:t>
      </w:r>
      <w:r>
        <w:rPr>
          <w:rFonts w:cstheme="minorHAnsi"/>
        </w:rPr>
        <w:t xml:space="preserve">της τιμής </w:t>
      </w:r>
      <w:r w:rsidRPr="000C20E7">
        <w:rPr>
          <w:rFonts w:cstheme="minorHAnsi"/>
        </w:rPr>
        <w:t xml:space="preserve">0.8, </w:t>
      </w:r>
      <w:r>
        <w:rPr>
          <w:rFonts w:cstheme="minorHAnsi"/>
        </w:rPr>
        <w:t xml:space="preserve">η σύμβαση </w:t>
      </w:r>
      <w:r w:rsidRPr="000C20E7">
        <w:rPr>
          <w:rFonts w:cstheme="minorHAnsi"/>
        </w:rPr>
        <w:t>λογίζεται ως</w:t>
      </w:r>
      <w:r>
        <w:rPr>
          <w:rFonts w:cstheme="minorHAnsi"/>
        </w:rPr>
        <w:t xml:space="preserve"> υψηλού κινδύνου</w:t>
      </w:r>
      <w:r w:rsidRPr="000C20E7">
        <w:rPr>
          <w:rFonts w:cstheme="minorHAnsi"/>
        </w:rPr>
        <w:t xml:space="preserve"> </w:t>
      </w:r>
      <w:r>
        <w:rPr>
          <w:rFonts w:cstheme="minorHAnsi"/>
        </w:rPr>
        <w:t>(</w:t>
      </w:r>
      <w:r w:rsidRPr="000C20E7">
        <w:rPr>
          <w:rFonts w:cstheme="minorHAnsi"/>
        </w:rPr>
        <w:t>high risk</w:t>
      </w:r>
      <w:r>
        <w:rPr>
          <w:rFonts w:cstheme="minorHAnsi"/>
        </w:rPr>
        <w:t>)</w:t>
      </w:r>
      <w:r w:rsidRPr="000C20E7">
        <w:rPr>
          <w:rFonts w:cstheme="minorHAnsi"/>
        </w:rPr>
        <w:t xml:space="preserve"> και επιλέγεται για</w:t>
      </w:r>
      <w:r>
        <w:rPr>
          <w:rFonts w:cstheme="minorHAnsi"/>
        </w:rPr>
        <w:t xml:space="preserve"> εκ των προτέρων έλεγχο</w:t>
      </w:r>
      <w:r w:rsidRPr="000C20E7">
        <w:rPr>
          <w:rFonts w:cstheme="minorHAnsi"/>
        </w:rPr>
        <w:t xml:space="preserve"> </w:t>
      </w:r>
      <w:r>
        <w:rPr>
          <w:rFonts w:cstheme="minorHAnsi"/>
        </w:rPr>
        <w:t>(</w:t>
      </w:r>
      <w:r w:rsidRPr="000C20E7">
        <w:rPr>
          <w:rFonts w:cstheme="minorHAnsi"/>
        </w:rPr>
        <w:t>ex-ante check</w:t>
      </w:r>
      <w:r>
        <w:rPr>
          <w:rFonts w:cstheme="minorHAnsi"/>
        </w:rPr>
        <w:t>)</w:t>
      </w:r>
      <w:r w:rsidRPr="000C20E7">
        <w:rPr>
          <w:rFonts w:cstheme="minorHAnsi"/>
        </w:rPr>
        <w:t xml:space="preserve"> μη σύγκρουσης συμφερόντων από την ΕΥΣΤΑ.</w:t>
      </w:r>
    </w:p>
    <w:p w14:paraId="65AB623B" w14:textId="7243B866" w:rsidR="00623EFC" w:rsidRPr="000C20E7" w:rsidRDefault="00623EFC" w:rsidP="00623EFC">
      <w:pPr>
        <w:spacing w:before="120" w:after="120" w:line="280" w:lineRule="exact"/>
        <w:jc w:val="both"/>
        <w:rPr>
          <w:rFonts w:cstheme="minorHAnsi"/>
        </w:rPr>
      </w:pPr>
      <w:r w:rsidRPr="000C20E7">
        <w:rPr>
          <w:rFonts w:cstheme="minorHAnsi"/>
        </w:rPr>
        <w:t>Οι εν λόγω κίνδυνοι επικαιροποιούνται και επαναξιολογούνται σε κάθε επόμενη επικαιροποίηση της μεθοδολογίας.</w:t>
      </w:r>
    </w:p>
    <w:p w14:paraId="69F4CB44" w14:textId="17988581" w:rsidR="00623EFC" w:rsidRPr="00AC262F" w:rsidRDefault="00DC1B25" w:rsidP="00623EFC">
      <w:pPr>
        <w:jc w:val="both"/>
        <w:rPr>
          <w:rFonts w:cstheme="minorHAnsi"/>
        </w:rPr>
      </w:pPr>
      <w:r>
        <w:rPr>
          <w:rFonts w:cstheme="minorHAnsi"/>
        </w:rPr>
        <w:t xml:space="preserve">Για την πρώτη περίοδο εφαρμογής της </w:t>
      </w:r>
      <w:r w:rsidR="00AC262F">
        <w:rPr>
          <w:rFonts w:cstheme="minorHAnsi"/>
        </w:rPr>
        <w:t xml:space="preserve">Μεθόδου </w:t>
      </w:r>
      <w:r w:rsidR="00AC262F">
        <w:rPr>
          <w:rFonts w:cstheme="minorHAnsi"/>
          <w:lang w:val="en-GB"/>
        </w:rPr>
        <w:t>A</w:t>
      </w:r>
      <w:r w:rsidR="00AC262F">
        <w:rPr>
          <w:rFonts w:cstheme="minorHAnsi"/>
        </w:rPr>
        <w:t xml:space="preserve">ξιολόγησης </w:t>
      </w:r>
      <w:r w:rsidR="00AC262F">
        <w:rPr>
          <w:rFonts w:cstheme="minorHAnsi"/>
          <w:lang w:val="en-GB"/>
        </w:rPr>
        <w:t>K</w:t>
      </w:r>
      <w:r w:rsidR="00AC262F">
        <w:rPr>
          <w:rFonts w:cstheme="minorHAnsi"/>
        </w:rPr>
        <w:t xml:space="preserve">ινδύνων </w:t>
      </w:r>
      <w:r w:rsidRPr="000C20E7">
        <w:rPr>
          <w:rFonts w:cstheme="minorHAnsi"/>
        </w:rPr>
        <w:t>προσδιορίστηκαν σε επίπεδο φορέων υλοποίησης</w:t>
      </w:r>
      <w:r w:rsidR="00556259">
        <w:rPr>
          <w:rFonts w:cstheme="minorHAnsi"/>
        </w:rPr>
        <w:t xml:space="preserve"> </w:t>
      </w:r>
      <w:r w:rsidRPr="000C20E7">
        <w:rPr>
          <w:rFonts w:cstheme="minorHAnsi"/>
        </w:rPr>
        <w:t xml:space="preserve"> και συμβάσεων που </w:t>
      </w:r>
      <w:r w:rsidRPr="00466437">
        <w:rPr>
          <w:rFonts w:cstheme="minorHAnsi"/>
        </w:rPr>
        <w:t>υλοποιούν</w:t>
      </w:r>
      <w:r w:rsidR="005D0BF2">
        <w:rPr>
          <w:rFonts w:cstheme="minorHAnsi"/>
        </w:rPr>
        <w:t>,</w:t>
      </w:r>
      <w:r w:rsidRPr="000C20E7">
        <w:rPr>
          <w:rFonts w:cstheme="minorHAnsi"/>
        </w:rPr>
        <w:t xml:space="preserve"> οι </w:t>
      </w:r>
      <w:r w:rsidR="005D0BF2">
        <w:rPr>
          <w:rFonts w:cstheme="minorHAnsi"/>
        </w:rPr>
        <w:t xml:space="preserve">ακόλουθοι </w:t>
      </w:r>
      <w:r w:rsidR="00AC262F">
        <w:rPr>
          <w:rFonts w:cstheme="minorHAnsi"/>
        </w:rPr>
        <w:t>Π</w:t>
      </w:r>
      <w:r w:rsidRPr="000C20E7">
        <w:rPr>
          <w:rFonts w:cstheme="minorHAnsi"/>
        </w:rPr>
        <w:t xml:space="preserve">αράγοντες </w:t>
      </w:r>
      <w:r w:rsidR="00AC262F">
        <w:rPr>
          <w:rFonts w:cstheme="minorHAnsi"/>
        </w:rPr>
        <w:t>Κ</w:t>
      </w:r>
      <w:r w:rsidRPr="000C20E7">
        <w:rPr>
          <w:rFonts w:cstheme="minorHAnsi"/>
        </w:rPr>
        <w:t>ινδύνου</w:t>
      </w:r>
      <w:r w:rsidR="00AC262F">
        <w:rPr>
          <w:rFonts w:cstheme="minorHAnsi"/>
        </w:rPr>
        <w:t xml:space="preserve"> </w:t>
      </w:r>
      <w:r w:rsidR="00AC262F" w:rsidRPr="00F449D8">
        <w:rPr>
          <w:rFonts w:cstheme="minorHAnsi"/>
        </w:rPr>
        <w:t xml:space="preserve">(Risk </w:t>
      </w:r>
      <w:r w:rsidR="00AC262F" w:rsidRPr="00F449D8">
        <w:rPr>
          <w:rFonts w:cstheme="minorHAnsi"/>
          <w:lang w:val="en-GB"/>
        </w:rPr>
        <w:t>Factors</w:t>
      </w:r>
      <w:r w:rsidR="00AC262F" w:rsidRPr="00F449D8">
        <w:rPr>
          <w:rFonts w:cstheme="minorHAnsi"/>
        </w:rPr>
        <w:t>)</w:t>
      </w:r>
      <w:r w:rsidR="005D0BF2">
        <w:rPr>
          <w:rFonts w:cstheme="minorHAnsi"/>
        </w:rPr>
        <w:t>:</w:t>
      </w:r>
      <w:r w:rsidRPr="000C20E7">
        <w:rPr>
          <w:rFonts w:cstheme="minorHAnsi"/>
        </w:rPr>
        <w:t xml:space="preserve"> </w:t>
      </w:r>
    </w:p>
    <w:p w14:paraId="64A9AF95" w14:textId="1F6D4B4C" w:rsidR="00AA26F3" w:rsidRPr="006A03D2" w:rsidRDefault="0045464A" w:rsidP="00F165D8">
      <w:pPr>
        <w:pStyle w:val="a3"/>
        <w:numPr>
          <w:ilvl w:val="0"/>
          <w:numId w:val="3"/>
        </w:numPr>
        <w:jc w:val="both"/>
        <w:rPr>
          <w:rFonts w:cstheme="minorHAnsi"/>
        </w:rPr>
      </w:pPr>
      <w:r>
        <w:rPr>
          <w:rFonts w:cstheme="minorHAnsi"/>
        </w:rPr>
        <w:t>Παράγοντες Κινδύνου</w:t>
      </w:r>
      <w:r w:rsidR="00AA26F3" w:rsidRPr="006A03D2">
        <w:rPr>
          <w:rFonts w:cstheme="minorHAnsi"/>
        </w:rPr>
        <w:t xml:space="preserve"> </w:t>
      </w:r>
      <w:r>
        <w:rPr>
          <w:rFonts w:cstheme="minorHAnsi"/>
        </w:rPr>
        <w:t xml:space="preserve">σε επίπεδο </w:t>
      </w:r>
      <w:r w:rsidR="00AA26F3" w:rsidRPr="006A03D2">
        <w:rPr>
          <w:rFonts w:cstheme="minorHAnsi"/>
        </w:rPr>
        <w:t>Φορέα Υλοποίησης</w:t>
      </w:r>
    </w:p>
    <w:p w14:paraId="61FC77CD" w14:textId="5B3AD38F" w:rsidR="00873097" w:rsidRPr="006A03D2" w:rsidRDefault="00DD1F24" w:rsidP="00F165D8">
      <w:pPr>
        <w:pStyle w:val="a3"/>
        <w:numPr>
          <w:ilvl w:val="0"/>
          <w:numId w:val="6"/>
        </w:numPr>
        <w:jc w:val="both"/>
        <w:rPr>
          <w:rFonts w:cstheme="minorHAnsi"/>
        </w:rPr>
      </w:pPr>
      <w:r>
        <w:rPr>
          <w:rFonts w:cstheme="minorHAnsi"/>
        </w:rPr>
        <w:t>Κ</w:t>
      </w:r>
      <w:r w:rsidR="00755363" w:rsidRPr="006A03D2">
        <w:rPr>
          <w:rFonts w:cstheme="minorHAnsi"/>
        </w:rPr>
        <w:t xml:space="preserve">ατηγορία του </w:t>
      </w:r>
      <w:r w:rsidR="008738D2" w:rsidRPr="006A03D2">
        <w:rPr>
          <w:rFonts w:cstheme="minorHAnsi"/>
        </w:rPr>
        <w:t>φορέα</w:t>
      </w:r>
    </w:p>
    <w:p w14:paraId="20229272" w14:textId="0AF417FA" w:rsidR="00873097" w:rsidRPr="006A03D2" w:rsidRDefault="00DD1F24" w:rsidP="00F165D8">
      <w:pPr>
        <w:pStyle w:val="a3"/>
        <w:numPr>
          <w:ilvl w:val="0"/>
          <w:numId w:val="6"/>
        </w:numPr>
        <w:jc w:val="both"/>
        <w:rPr>
          <w:rFonts w:cstheme="minorHAnsi"/>
        </w:rPr>
      </w:pPr>
      <w:r>
        <w:rPr>
          <w:rFonts w:cstheme="minorHAnsi"/>
        </w:rPr>
        <w:t>Π</w:t>
      </w:r>
      <w:r w:rsidR="00873097" w:rsidRPr="006A03D2">
        <w:rPr>
          <w:rFonts w:cstheme="minorHAnsi"/>
        </w:rPr>
        <w:t>λήθος των Δράσεων που υλοποιεί ο φορέας  στο πλαίσιο του ΤΑΑ</w:t>
      </w:r>
    </w:p>
    <w:p w14:paraId="36B35AC9" w14:textId="2DB447F7" w:rsidR="004C68BD" w:rsidRPr="006A03D2" w:rsidRDefault="00DD1F24" w:rsidP="00F165D8">
      <w:pPr>
        <w:pStyle w:val="a3"/>
        <w:numPr>
          <w:ilvl w:val="0"/>
          <w:numId w:val="6"/>
        </w:numPr>
        <w:jc w:val="both"/>
        <w:rPr>
          <w:rFonts w:cstheme="minorHAnsi"/>
        </w:rPr>
      </w:pPr>
      <w:r>
        <w:rPr>
          <w:rFonts w:cstheme="minorHAnsi"/>
        </w:rPr>
        <w:t>Π</w:t>
      </w:r>
      <w:r w:rsidR="004C68BD" w:rsidRPr="006A03D2">
        <w:rPr>
          <w:rFonts w:cstheme="minorHAnsi"/>
        </w:rPr>
        <w:t xml:space="preserve">οσοστό του </w:t>
      </w:r>
      <w:r>
        <w:rPr>
          <w:rFonts w:cstheme="minorHAnsi"/>
        </w:rPr>
        <w:t>π</w:t>
      </w:r>
      <w:r w:rsidR="004C68BD" w:rsidRPr="006A03D2">
        <w:rPr>
          <w:rFonts w:cstheme="minorHAnsi"/>
        </w:rPr>
        <w:t>ροϋπολογισμού που υλοποιεί</w:t>
      </w:r>
      <w:r w:rsidR="00EE21BE" w:rsidRPr="006A03D2">
        <w:rPr>
          <w:rFonts w:cstheme="minorHAnsi"/>
        </w:rPr>
        <w:t xml:space="preserve"> ο φορέας, στο σύνολο του προϋπολογισμού των ενταγμένων έργων στο ΤΑΑ</w:t>
      </w:r>
    </w:p>
    <w:p w14:paraId="059BDE4A" w14:textId="31CF8B7D" w:rsidR="00A85784" w:rsidRPr="006A03D2" w:rsidRDefault="00DD1F24" w:rsidP="00F165D8">
      <w:pPr>
        <w:pStyle w:val="a3"/>
        <w:numPr>
          <w:ilvl w:val="0"/>
          <w:numId w:val="6"/>
        </w:numPr>
        <w:jc w:val="both"/>
        <w:rPr>
          <w:rFonts w:cstheme="minorHAnsi"/>
        </w:rPr>
      </w:pPr>
      <w:r>
        <w:rPr>
          <w:rFonts w:cstheme="minorHAnsi"/>
        </w:rPr>
        <w:t>Π</w:t>
      </w:r>
      <w:r w:rsidR="00B60C18" w:rsidRPr="006A03D2">
        <w:rPr>
          <w:rFonts w:cstheme="minorHAnsi"/>
        </w:rPr>
        <w:t xml:space="preserve">οσοστό </w:t>
      </w:r>
      <w:r w:rsidR="00655FC0" w:rsidRPr="006A03D2">
        <w:rPr>
          <w:rFonts w:cstheme="minorHAnsi"/>
        </w:rPr>
        <w:t xml:space="preserve">συμβασιοποίησης </w:t>
      </w:r>
      <w:r w:rsidR="00DC7821" w:rsidRPr="006A03D2">
        <w:rPr>
          <w:rFonts w:cstheme="minorHAnsi"/>
        </w:rPr>
        <w:t>σ</w:t>
      </w:r>
      <w:r w:rsidR="00655FC0" w:rsidRPr="006A03D2">
        <w:rPr>
          <w:rFonts w:cstheme="minorHAnsi"/>
        </w:rPr>
        <w:t xml:space="preserve">το </w:t>
      </w:r>
      <w:r w:rsidR="00DC7821" w:rsidRPr="006A03D2">
        <w:rPr>
          <w:rFonts w:cstheme="minorHAnsi"/>
        </w:rPr>
        <w:t>σ</w:t>
      </w:r>
      <w:r w:rsidR="00655FC0" w:rsidRPr="006A03D2">
        <w:rPr>
          <w:rFonts w:cstheme="minorHAnsi"/>
        </w:rPr>
        <w:t>ύ</w:t>
      </w:r>
      <w:r w:rsidR="00DC7821" w:rsidRPr="006A03D2">
        <w:rPr>
          <w:rFonts w:cstheme="minorHAnsi"/>
        </w:rPr>
        <w:t>ν</w:t>
      </w:r>
      <w:r w:rsidR="00655FC0" w:rsidRPr="006A03D2">
        <w:rPr>
          <w:rFonts w:cstheme="minorHAnsi"/>
        </w:rPr>
        <w:t>ολο του προϋπολογισμού που υλοποι</w:t>
      </w:r>
      <w:r>
        <w:rPr>
          <w:rFonts w:cstheme="minorHAnsi"/>
        </w:rPr>
        <w:t>εί</w:t>
      </w:r>
      <w:r w:rsidR="00655FC0" w:rsidRPr="006A03D2">
        <w:rPr>
          <w:rFonts w:cstheme="minorHAnsi"/>
        </w:rPr>
        <w:t xml:space="preserve"> </w:t>
      </w:r>
      <w:r w:rsidR="00A85784" w:rsidRPr="006A03D2">
        <w:rPr>
          <w:rFonts w:cstheme="minorHAnsi"/>
        </w:rPr>
        <w:t>ο φορέας</w:t>
      </w:r>
    </w:p>
    <w:p w14:paraId="370D9BC7" w14:textId="4C479F63" w:rsidR="003B1786" w:rsidRPr="006A03D2" w:rsidRDefault="00DD1F24" w:rsidP="00F165D8">
      <w:pPr>
        <w:pStyle w:val="a3"/>
        <w:numPr>
          <w:ilvl w:val="0"/>
          <w:numId w:val="6"/>
        </w:numPr>
        <w:spacing w:before="120" w:after="120" w:line="280" w:lineRule="exact"/>
        <w:jc w:val="both"/>
        <w:rPr>
          <w:rFonts w:cstheme="minorHAnsi"/>
        </w:rPr>
      </w:pPr>
      <w:r>
        <w:rPr>
          <w:rFonts w:cstheme="minorHAnsi"/>
        </w:rPr>
        <w:t>Ε</w:t>
      </w:r>
      <w:r w:rsidR="003B1786" w:rsidRPr="006A03D2">
        <w:rPr>
          <w:rFonts w:cstheme="minorHAnsi"/>
        </w:rPr>
        <w:t xml:space="preserve">μπειρία του φορέα στην υλοποίηση λοιπών συγχρηματοδοτούμενων προγραμμάτων εκτός ΤΑΑ </w:t>
      </w:r>
    </w:p>
    <w:p w14:paraId="1ACC709C" w14:textId="6056588A" w:rsidR="00B60C18" w:rsidRDefault="0045464A" w:rsidP="00F165D8">
      <w:pPr>
        <w:pStyle w:val="a3"/>
        <w:numPr>
          <w:ilvl w:val="0"/>
          <w:numId w:val="3"/>
        </w:numPr>
        <w:jc w:val="both"/>
        <w:rPr>
          <w:rFonts w:cstheme="minorHAnsi"/>
        </w:rPr>
      </w:pPr>
      <w:r>
        <w:rPr>
          <w:rFonts w:cstheme="minorHAnsi"/>
        </w:rPr>
        <w:t>Παράγοντες Κινδύνου</w:t>
      </w:r>
      <w:r w:rsidRPr="006A03D2">
        <w:rPr>
          <w:rFonts w:cstheme="minorHAnsi"/>
        </w:rPr>
        <w:t xml:space="preserve"> </w:t>
      </w:r>
      <w:r>
        <w:rPr>
          <w:rFonts w:cstheme="minorHAnsi"/>
        </w:rPr>
        <w:t>σε ε</w:t>
      </w:r>
      <w:r w:rsidR="00B70BE0">
        <w:rPr>
          <w:rFonts w:cstheme="minorHAnsi"/>
        </w:rPr>
        <w:t>πίπεδο συμβάσεων</w:t>
      </w:r>
      <w:r w:rsidR="00013990">
        <w:rPr>
          <w:rFonts w:cstheme="minorHAnsi"/>
        </w:rPr>
        <w:t xml:space="preserve"> </w:t>
      </w:r>
    </w:p>
    <w:p w14:paraId="68B06966" w14:textId="3F364BB0" w:rsidR="00B70BE0" w:rsidRPr="000B1B66" w:rsidRDefault="00DC1169" w:rsidP="00F165D8">
      <w:pPr>
        <w:pStyle w:val="a3"/>
        <w:numPr>
          <w:ilvl w:val="0"/>
          <w:numId w:val="7"/>
        </w:numPr>
        <w:jc w:val="both"/>
        <w:rPr>
          <w:rFonts w:cstheme="minorHAnsi"/>
        </w:rPr>
      </w:pPr>
      <w:r>
        <w:rPr>
          <w:rFonts w:cstheme="minorHAnsi"/>
          <w:lang w:val="en-GB"/>
        </w:rPr>
        <w:t>Retrospective</w:t>
      </w:r>
      <w:r w:rsidRPr="0007340C">
        <w:rPr>
          <w:rFonts w:cstheme="minorHAnsi"/>
        </w:rPr>
        <w:t xml:space="preserve"> </w:t>
      </w:r>
      <w:r>
        <w:rPr>
          <w:rFonts w:cstheme="minorHAnsi"/>
          <w:lang w:val="en-GB"/>
        </w:rPr>
        <w:t>projects</w:t>
      </w:r>
      <w:r>
        <w:rPr>
          <w:rFonts w:cstheme="minorHAnsi"/>
        </w:rPr>
        <w:t xml:space="preserve">/Χρόνος έναρξης υλοποίησης </w:t>
      </w:r>
      <w:r w:rsidR="00B70BE0" w:rsidRPr="000B1B66">
        <w:rPr>
          <w:rFonts w:cstheme="minorHAnsi"/>
        </w:rPr>
        <w:t>Δράσε</w:t>
      </w:r>
      <w:r>
        <w:rPr>
          <w:rFonts w:cstheme="minorHAnsi"/>
        </w:rPr>
        <w:t>ων</w:t>
      </w:r>
    </w:p>
    <w:p w14:paraId="6B7AC970" w14:textId="1D672005" w:rsidR="00EE21BE" w:rsidRPr="00F165D8" w:rsidRDefault="009442F7" w:rsidP="00F165D8">
      <w:pPr>
        <w:pStyle w:val="a3"/>
        <w:numPr>
          <w:ilvl w:val="0"/>
          <w:numId w:val="7"/>
        </w:numPr>
        <w:jc w:val="both"/>
        <w:rPr>
          <w:rFonts w:cstheme="minorHAnsi"/>
          <w:lang w:val="en-GB"/>
        </w:rPr>
      </w:pPr>
      <w:r>
        <w:rPr>
          <w:rFonts w:cstheme="minorHAnsi"/>
        </w:rPr>
        <w:t>Δράσεις</w:t>
      </w:r>
      <w:r w:rsidRPr="00F165D8">
        <w:rPr>
          <w:rFonts w:cstheme="minorHAnsi"/>
          <w:lang w:val="en-GB"/>
        </w:rPr>
        <w:t xml:space="preserve"> </w:t>
      </w:r>
      <w:r>
        <w:rPr>
          <w:rFonts w:cstheme="minorHAnsi"/>
        </w:rPr>
        <w:t>που</w:t>
      </w:r>
      <w:r w:rsidRPr="00F165D8">
        <w:rPr>
          <w:rFonts w:cstheme="minorHAnsi"/>
          <w:lang w:val="en-GB"/>
        </w:rPr>
        <w:t xml:space="preserve"> </w:t>
      </w:r>
      <w:r>
        <w:rPr>
          <w:rFonts w:cstheme="minorHAnsi"/>
        </w:rPr>
        <w:t>είναι</w:t>
      </w:r>
      <w:r w:rsidRPr="00F165D8">
        <w:rPr>
          <w:rFonts w:cstheme="minorHAnsi"/>
          <w:lang w:val="en-GB"/>
        </w:rPr>
        <w:t xml:space="preserve"> </w:t>
      </w:r>
      <w:r w:rsidR="0007205B" w:rsidRPr="00F165D8">
        <w:rPr>
          <w:rFonts w:cstheme="minorHAnsi"/>
          <w:lang w:val="en-GB"/>
        </w:rPr>
        <w:t>tagged (environment, climate, digital)</w:t>
      </w:r>
    </w:p>
    <w:p w14:paraId="74B52662" w14:textId="7CD37DE2" w:rsidR="00EE21BE" w:rsidRPr="000B1B66" w:rsidRDefault="008E5310" w:rsidP="00F165D8">
      <w:pPr>
        <w:pStyle w:val="a3"/>
        <w:numPr>
          <w:ilvl w:val="0"/>
          <w:numId w:val="7"/>
        </w:numPr>
        <w:jc w:val="both"/>
        <w:rPr>
          <w:rFonts w:cstheme="minorHAnsi"/>
        </w:rPr>
      </w:pPr>
      <w:r w:rsidRPr="000B1B66">
        <w:rPr>
          <w:rFonts w:cstheme="minorHAnsi"/>
        </w:rPr>
        <w:t>Δράσεις που ενέχουν συμπληρωματικότητα ή συνέργεια</w:t>
      </w:r>
    </w:p>
    <w:p w14:paraId="187793B0" w14:textId="366EBF9E" w:rsidR="007366C6" w:rsidRPr="000B1B66" w:rsidRDefault="007366C6" w:rsidP="00F165D8">
      <w:pPr>
        <w:pStyle w:val="a3"/>
        <w:numPr>
          <w:ilvl w:val="0"/>
          <w:numId w:val="7"/>
        </w:numPr>
        <w:jc w:val="both"/>
        <w:rPr>
          <w:rFonts w:cstheme="minorHAnsi"/>
        </w:rPr>
      </w:pPr>
      <w:r w:rsidRPr="000B1B66">
        <w:rPr>
          <w:rFonts w:cstheme="minorHAnsi"/>
        </w:rPr>
        <w:t>Δράσ</w:t>
      </w:r>
      <w:r w:rsidR="009442F7">
        <w:rPr>
          <w:rFonts w:cstheme="minorHAnsi"/>
        </w:rPr>
        <w:t>εις</w:t>
      </w:r>
      <w:r w:rsidRPr="000B1B66">
        <w:rPr>
          <w:rFonts w:cstheme="minorHAnsi"/>
        </w:rPr>
        <w:t xml:space="preserve"> που έχ</w:t>
      </w:r>
      <w:r w:rsidR="009442F7">
        <w:rPr>
          <w:rFonts w:cstheme="minorHAnsi"/>
        </w:rPr>
        <w:t>ουν</w:t>
      </w:r>
      <w:r w:rsidRPr="000B1B66">
        <w:rPr>
          <w:rFonts w:cstheme="minorHAnsi"/>
        </w:rPr>
        <w:t xml:space="preserve"> χαρακτηριστεί ως «Top Investment» στο ΕΣΑΑ</w:t>
      </w:r>
    </w:p>
    <w:p w14:paraId="2A22C29D" w14:textId="214E4F1B" w:rsidR="0028647E" w:rsidRPr="000B1B66" w:rsidRDefault="003C4440" w:rsidP="00F165D8">
      <w:pPr>
        <w:pStyle w:val="a3"/>
        <w:numPr>
          <w:ilvl w:val="0"/>
          <w:numId w:val="7"/>
        </w:numPr>
        <w:jc w:val="both"/>
        <w:rPr>
          <w:rFonts w:cstheme="minorHAnsi"/>
        </w:rPr>
      </w:pPr>
      <w:r>
        <w:rPr>
          <w:rFonts w:cstheme="minorHAnsi"/>
        </w:rPr>
        <w:t>Ο</w:t>
      </w:r>
      <w:r w:rsidR="0028647E" w:rsidRPr="000B1B66">
        <w:rPr>
          <w:rFonts w:cstheme="minorHAnsi"/>
        </w:rPr>
        <w:t>ριζόντι</w:t>
      </w:r>
      <w:r>
        <w:rPr>
          <w:rFonts w:cstheme="minorHAnsi"/>
        </w:rPr>
        <w:t>ε</w:t>
      </w:r>
      <w:r w:rsidR="0028647E" w:rsidRPr="000B1B66">
        <w:rPr>
          <w:rFonts w:cstheme="minorHAnsi"/>
        </w:rPr>
        <w:t>ς "δράσ</w:t>
      </w:r>
      <w:r>
        <w:rPr>
          <w:rFonts w:cstheme="minorHAnsi"/>
        </w:rPr>
        <w:t>ει</w:t>
      </w:r>
      <w:r w:rsidR="0028647E" w:rsidRPr="000B1B66">
        <w:rPr>
          <w:rFonts w:cstheme="minorHAnsi"/>
        </w:rPr>
        <w:t>ς" τεχνικής βοήθειας</w:t>
      </w:r>
    </w:p>
    <w:p w14:paraId="6C516C4E" w14:textId="595552A4" w:rsidR="00757E0C" w:rsidRPr="000B1B66" w:rsidRDefault="005B793E" w:rsidP="00F165D8">
      <w:pPr>
        <w:pStyle w:val="a3"/>
        <w:numPr>
          <w:ilvl w:val="0"/>
          <w:numId w:val="7"/>
        </w:numPr>
        <w:jc w:val="both"/>
        <w:rPr>
          <w:rFonts w:cstheme="minorHAnsi"/>
        </w:rPr>
      </w:pPr>
      <w:r>
        <w:rPr>
          <w:rFonts w:cstheme="minorHAnsi"/>
        </w:rPr>
        <w:t>Θεσμικό πλαίσιο ανάθεσης συμβάσεων</w:t>
      </w:r>
    </w:p>
    <w:p w14:paraId="15CEC9D6" w14:textId="6AB05A7F" w:rsidR="005F68CA" w:rsidRDefault="005B793E" w:rsidP="009F5F3C">
      <w:pPr>
        <w:pStyle w:val="a3"/>
        <w:numPr>
          <w:ilvl w:val="0"/>
          <w:numId w:val="7"/>
        </w:numPr>
        <w:jc w:val="both"/>
        <w:rPr>
          <w:rFonts w:cstheme="minorHAnsi"/>
        </w:rPr>
      </w:pPr>
      <w:r>
        <w:rPr>
          <w:rFonts w:cstheme="minorHAnsi"/>
        </w:rPr>
        <w:t>Ε</w:t>
      </w:r>
      <w:r w:rsidR="005F68CA" w:rsidRPr="000B1B66">
        <w:rPr>
          <w:rFonts w:cstheme="minorHAnsi"/>
        </w:rPr>
        <w:t>φαρμοζόμενη διαδικασία ανάθεσης</w:t>
      </w:r>
      <w:r>
        <w:rPr>
          <w:rFonts w:cstheme="minorHAnsi"/>
        </w:rPr>
        <w:t xml:space="preserve"> συμβάσεων</w:t>
      </w:r>
      <w:r w:rsidR="00BF3D3B">
        <w:rPr>
          <w:rFonts w:cstheme="minorHAnsi"/>
        </w:rPr>
        <w:t xml:space="preserve"> δυνάμει του π/υ αυτών</w:t>
      </w:r>
      <w:r w:rsidR="0045576F">
        <w:rPr>
          <w:rFonts w:cstheme="minorHAnsi"/>
        </w:rPr>
        <w:t xml:space="preserve"> (άνω/κάτω των </w:t>
      </w:r>
      <w:r w:rsidR="00A251EC">
        <w:rPr>
          <w:rFonts w:cstheme="minorHAnsi"/>
        </w:rPr>
        <w:t>ο</w:t>
      </w:r>
      <w:r w:rsidR="0045576F">
        <w:rPr>
          <w:rFonts w:cstheme="minorHAnsi"/>
        </w:rPr>
        <w:t xml:space="preserve">ρίων </w:t>
      </w:r>
      <w:r w:rsidR="00A251EC">
        <w:rPr>
          <w:rFonts w:cstheme="minorHAnsi"/>
        </w:rPr>
        <w:t xml:space="preserve">των Οδηγιών </w:t>
      </w:r>
      <w:r w:rsidR="0045576F">
        <w:rPr>
          <w:rFonts w:cstheme="minorHAnsi"/>
        </w:rPr>
        <w:t>της ΕΕ)</w:t>
      </w:r>
    </w:p>
    <w:p w14:paraId="599EB487" w14:textId="683BA926" w:rsidR="006013BA" w:rsidRPr="000B1B66" w:rsidRDefault="006013BA" w:rsidP="00F165D8">
      <w:pPr>
        <w:pStyle w:val="a3"/>
        <w:numPr>
          <w:ilvl w:val="0"/>
          <w:numId w:val="7"/>
        </w:numPr>
        <w:jc w:val="both"/>
        <w:rPr>
          <w:rFonts w:cstheme="minorHAnsi"/>
        </w:rPr>
      </w:pPr>
      <w:r>
        <w:rPr>
          <w:rFonts w:cstheme="minorHAnsi"/>
        </w:rPr>
        <w:t>Διαδικασία ανάθεσης συμβάσεων</w:t>
      </w:r>
    </w:p>
    <w:p w14:paraId="60E84597" w14:textId="02560AAA" w:rsidR="00F71748" w:rsidRPr="009900B9" w:rsidRDefault="00BF71B1" w:rsidP="00F71748">
      <w:pPr>
        <w:jc w:val="both"/>
        <w:rPr>
          <w:rFonts w:cstheme="minorHAnsi"/>
        </w:rPr>
      </w:pPr>
      <w:r>
        <w:t xml:space="preserve">Η διενεργηθείσα εργασία του εκ των προτέρων ελέγχου μη ύπαρξης σύγκρουσης συμφερόντων διενεργείται σύμφωνα με σχετικό </w:t>
      </w:r>
      <w:r w:rsidRPr="00F165D8">
        <w:t>έντυπο Δ10_Ε2 του παρόντος</w:t>
      </w:r>
      <w:r>
        <w:t xml:space="preserve"> και </w:t>
      </w:r>
      <w:r>
        <w:lastRenderedPageBreak/>
        <w:t>αποτυπώνεται σε αυτό.</w:t>
      </w:r>
      <w:r>
        <w:rPr>
          <w:rFonts w:cstheme="minorHAnsi"/>
          <w:i/>
          <w:iCs/>
        </w:rPr>
        <w:t xml:space="preserve"> </w:t>
      </w:r>
      <w:r w:rsidR="00A67C41">
        <w:t>Για την επιβεβαίωση της μη ύπαρξης σύγκρουσης συμφερόντων</w:t>
      </w:r>
      <w:r w:rsidR="00A67C41" w:rsidRPr="004F6208">
        <w:t xml:space="preserve"> </w:t>
      </w:r>
      <w:r w:rsidR="00A67C41">
        <w:t xml:space="preserve">αξιοποιούνται τα στοιχεία </w:t>
      </w:r>
      <w:r w:rsidR="001200CB">
        <w:t xml:space="preserve">που περιγράφονται </w:t>
      </w:r>
      <w:r>
        <w:t>σ</w:t>
      </w:r>
      <w:r w:rsidR="00A67C41">
        <w:t>τ</w:t>
      </w:r>
      <w:r w:rsidR="0076596D">
        <w:t>ις</w:t>
      </w:r>
      <w:r w:rsidR="00A67C41">
        <w:t xml:space="preserve"> διαδικασί</w:t>
      </w:r>
      <w:r w:rsidR="00F21875">
        <w:t>ες</w:t>
      </w:r>
      <w:r w:rsidR="00A67C41">
        <w:t xml:space="preserve"> </w:t>
      </w:r>
      <w:r w:rsidR="00402087">
        <w:t xml:space="preserve">Δ5 </w:t>
      </w:r>
      <w:r w:rsidR="003165FD">
        <w:t xml:space="preserve">(Έντυπο Δ5_Ε5 Υπεύθυνη Δήλωση μη σύγκρουσης συμφερόντων) και </w:t>
      </w:r>
      <w:r w:rsidR="00A67C41">
        <w:t>Δ20</w:t>
      </w:r>
      <w:r w:rsidR="00601562">
        <w:t>,</w:t>
      </w:r>
      <w:r w:rsidR="00A67C41">
        <w:t xml:space="preserve"> αναφορικά με τον πραγματικό δικαιούχο, λαμβάνοντας υπόψη και τα  στοιχεία ταυτότητας όλων των εμπλεκομένων στα διάφορα στάδια της διαδικασίας ανάθεσης της σύμβασης</w:t>
      </w:r>
      <w:r w:rsidR="00CC2368">
        <w:t xml:space="preserve">, όπως </w:t>
      </w:r>
      <w:r w:rsidR="003A473F">
        <w:t xml:space="preserve">αναλυτικότερα </w:t>
      </w:r>
      <w:r w:rsidR="00CC2368">
        <w:t>αναφέρεται στην ενότητα που ακολουθεί</w:t>
      </w:r>
      <w:r w:rsidR="00A67C41">
        <w:t xml:space="preserve">. Χαρακτηριστικά, αναφέρονται τα στελέχη της αναθέτουσας και των μελών οργάνων διοίκησης που κατά λόγο αρμοδιότητας συμμετέχουν στη διαδικασία ανάθεσης, </w:t>
      </w:r>
      <w:r w:rsidR="004758B2">
        <w:t xml:space="preserve">των μελών της Επιτροπής Διαγωνισμού και λοιπών </w:t>
      </w:r>
      <w:r w:rsidR="00A67C41">
        <w:t>συλλογικών οργάνων που συγκροτήθηκαν</w:t>
      </w:r>
      <w:r w:rsidR="004758B2">
        <w:t xml:space="preserve"> για το</w:t>
      </w:r>
      <w:r w:rsidR="00F21875">
        <w:t>ν</w:t>
      </w:r>
      <w:r w:rsidR="004758B2">
        <w:t xml:space="preserve"> σκοπό αυτό</w:t>
      </w:r>
      <w:r w:rsidR="00A67C41">
        <w:t>, καθώς και, της ομάδας των συμβούλων που πιθανώς συνέδραμαν αυτήν</w:t>
      </w:r>
      <w:r w:rsidR="00A67C41" w:rsidRPr="00816A34">
        <w:t>.</w:t>
      </w:r>
      <w:r w:rsidR="000E42D2" w:rsidRPr="00816A34">
        <w:t xml:space="preserve"> </w:t>
      </w:r>
    </w:p>
    <w:p w14:paraId="6B83719D" w14:textId="7CE65A59" w:rsidR="00EA151C" w:rsidRDefault="00EA151C" w:rsidP="00EA151C">
      <w:pPr>
        <w:jc w:val="both"/>
        <w:rPr>
          <w:rFonts w:cstheme="minorHAnsi"/>
        </w:rPr>
      </w:pPr>
      <w:bookmarkStart w:id="1" w:name="_Hlk95920825"/>
      <w:r w:rsidRPr="00002585">
        <w:rPr>
          <w:rFonts w:eastAsia="Tahoma" w:cs="Tahoma"/>
          <w:b/>
          <w:color w:val="2E74B5" w:themeColor="accent1" w:themeShade="BF"/>
          <w:lang w:eastAsia="el-GR"/>
        </w:rPr>
        <w:t>3.1</w:t>
      </w:r>
      <w:r>
        <w:rPr>
          <w:rFonts w:eastAsia="Tahoma" w:cs="Tahoma"/>
          <w:b/>
          <w:color w:val="2E74B5" w:themeColor="accent1" w:themeShade="BF"/>
          <w:lang w:eastAsia="el-GR"/>
        </w:rPr>
        <w:t>.1</w:t>
      </w:r>
      <w:r w:rsidRPr="00002585">
        <w:rPr>
          <w:rFonts w:eastAsia="Tahoma" w:cs="Tahoma"/>
          <w:b/>
          <w:color w:val="2E74B5" w:themeColor="accent1" w:themeShade="BF"/>
          <w:lang w:eastAsia="el-GR"/>
        </w:rPr>
        <w:t xml:space="preserve"> </w:t>
      </w:r>
      <w:r>
        <w:rPr>
          <w:rFonts w:eastAsia="Tahoma" w:cs="Tahoma"/>
          <w:b/>
          <w:color w:val="2E74B5" w:themeColor="accent1" w:themeShade="BF"/>
          <w:lang w:eastAsia="el-GR"/>
        </w:rPr>
        <w:t>Ελάχιστα στοιχεία που προσκομίζονται για την εξέταση</w:t>
      </w:r>
    </w:p>
    <w:p w14:paraId="04D3A439" w14:textId="3D74E151" w:rsidR="007473B4" w:rsidRDefault="00EA151C" w:rsidP="007473B4">
      <w:pPr>
        <w:spacing w:after="275"/>
        <w:ind w:left="6" w:right="45"/>
        <w:jc w:val="both"/>
        <w:rPr>
          <w:color w:val="131313"/>
          <w:shd w:val="clear" w:color="auto" w:fill="FFFFFF"/>
        </w:rPr>
      </w:pPr>
      <w:r>
        <w:rPr>
          <w:rFonts w:eastAsia="Times New Roman" w:cstheme="minorHAnsi"/>
          <w:lang w:eastAsia="en-GB"/>
        </w:rPr>
        <w:t>Εφόσον σε συνέχεια των ανωτέρω, μία σύμβαση επιλεγεί για έλεγχο σημείου βεβαίωσης μη σύγκρουσης συμφερόντων</w:t>
      </w:r>
      <w:r w:rsidR="007473B4">
        <w:rPr>
          <w:rFonts w:eastAsia="Times New Roman" w:cstheme="minorHAnsi"/>
          <w:lang w:eastAsia="en-GB"/>
        </w:rPr>
        <w:t xml:space="preserve"> σε όλα τα στάδια της διαγωνιστικής διαδικασίας μέχρι και την </w:t>
      </w:r>
      <w:r w:rsidR="007473B4">
        <w:t>κατακύρωση του διαγωνισμού</w:t>
      </w:r>
      <w:r>
        <w:rPr>
          <w:rFonts w:eastAsia="Times New Roman" w:cstheme="minorHAnsi"/>
          <w:lang w:eastAsia="en-GB"/>
        </w:rPr>
        <w:t>,</w:t>
      </w:r>
      <w:r w:rsidR="007473B4">
        <w:rPr>
          <w:rFonts w:eastAsia="Times New Roman" w:cstheme="minorHAnsi"/>
          <w:lang w:eastAsia="en-GB"/>
        </w:rPr>
        <w:t xml:space="preserve"> </w:t>
      </w:r>
      <w:r w:rsidR="007473B4">
        <w:rPr>
          <w:color w:val="131313"/>
          <w:shd w:val="clear" w:color="auto" w:fill="FFFFFF"/>
        </w:rPr>
        <w:t xml:space="preserve">προσκομίζεται λίστα με στοιχεία ταυτότητας όλων των δημοσιονομικών </w:t>
      </w:r>
      <w:r w:rsidR="007473B4" w:rsidRPr="007473B4">
        <w:rPr>
          <w:shd w:val="clear" w:color="auto" w:fill="FFFFFF"/>
        </w:rPr>
        <w:t xml:space="preserve">παραγόντων και λοιπών εμπλεκομένων στα διάφορα στάδια της διαγωνιστικής διαδικασία </w:t>
      </w:r>
      <w:r w:rsidR="007473B4" w:rsidRPr="007473B4">
        <w:t xml:space="preserve">(κατ’ ελάχιστον, όνομα, επώνυμο και ημερομηνία γέννησης) </w:t>
      </w:r>
      <w:r w:rsidR="007473B4" w:rsidRPr="007473B4">
        <w:rPr>
          <w:shd w:val="clear" w:color="auto" w:fill="FFFFFF"/>
        </w:rPr>
        <w:t>και συγκεκριμ</w:t>
      </w:r>
      <w:r w:rsidR="007473B4">
        <w:rPr>
          <w:color w:val="131313"/>
          <w:shd w:val="clear" w:color="auto" w:fill="FFFFFF"/>
        </w:rPr>
        <w:t>ένα</w:t>
      </w:r>
      <w:r w:rsidR="007473B4" w:rsidRPr="00AB3DDC">
        <w:rPr>
          <w:color w:val="131313"/>
          <w:shd w:val="clear" w:color="auto" w:fill="FFFFFF"/>
        </w:rPr>
        <w:t xml:space="preserve"> </w:t>
      </w:r>
      <w:r w:rsidR="007473B4">
        <w:rPr>
          <w:color w:val="131313"/>
          <w:shd w:val="clear" w:color="auto" w:fill="FFFFFF"/>
        </w:rPr>
        <w:t xml:space="preserve">των στελεχών της αναθέτουσας και των μελών οργάνων διοίκησης που κατά λόγο αρμοδιότητας συμμετείχαν στη διαδικασία, των μελών των συλλογικών οργάνων που συγκροτήθηκαν, της ομάδας των συμβούλων που συνέδραμαν την αναθέτουσα ή και την Επιτροπή Διαγωνισμού. </w:t>
      </w:r>
    </w:p>
    <w:p w14:paraId="1BD4ABA4" w14:textId="6444B373" w:rsidR="00EA151C" w:rsidRPr="007473B4" w:rsidRDefault="007473B4" w:rsidP="007473B4">
      <w:pPr>
        <w:spacing w:after="275"/>
        <w:ind w:left="6" w:right="45"/>
        <w:jc w:val="both"/>
        <w:rPr>
          <w:shd w:val="clear" w:color="auto" w:fill="FFFFFF"/>
        </w:rPr>
      </w:pPr>
      <w:r>
        <w:rPr>
          <w:rFonts w:eastAsia="Times New Roman" w:cstheme="minorHAnsi"/>
          <w:lang w:eastAsia="en-GB"/>
        </w:rPr>
        <w:t xml:space="preserve">Επιπλέον, </w:t>
      </w:r>
      <w:r>
        <w:t xml:space="preserve">προσκομίζονται </w:t>
      </w:r>
      <w:r w:rsidR="00EA151C">
        <w:t>στοιχεία ταυτότητας</w:t>
      </w:r>
      <w:r>
        <w:t xml:space="preserve"> </w:t>
      </w:r>
      <w:r w:rsidR="00EA151C">
        <w:t xml:space="preserve">(κατ’ελάχιστον, όνομα/επώνυμο, ΑΦΜ και ημερομηνία γέννησης) του/των πραγματικού/ων δικαιούχου/ων του </w:t>
      </w:r>
      <w:r w:rsidR="00EA151C" w:rsidRPr="00BE5651">
        <w:t>αναδόχου,</w:t>
      </w:r>
      <w:r w:rsidR="00EA151C">
        <w:t xml:space="preserve"> κατά την έννοια του </w:t>
      </w:r>
      <w:r w:rsidR="00EA151C" w:rsidRPr="00227A4C">
        <w:t>άρθρο</w:t>
      </w:r>
      <w:r w:rsidR="00EA151C">
        <w:t>υ</w:t>
      </w:r>
      <w:r w:rsidR="00EA151C" w:rsidRPr="00227A4C">
        <w:t xml:space="preserve"> 3 σημείο 6 της οδηγίας (ΕΕ) 2015/849 του Ευρωπαϊκού Κοινοβουλίου και του </w:t>
      </w:r>
      <w:r w:rsidR="00EA151C" w:rsidRPr="007473B4">
        <w:t xml:space="preserve">Συμβουλίου, το οποίο ενσωματώθηκε στην παρ. 17 του άρθρου 3 του ν.4557/18. Για </w:t>
      </w:r>
      <w:r w:rsidR="00EA151C">
        <w:t>τις περιπτώσεις οντοτήτων που έχουν υποχρέωση εγγραφής στο Κεντρικό Μητρώο Πραγματικών Δικαιούχων του άρθρου 20 του ν.</w:t>
      </w:r>
      <w:r w:rsidR="00EA151C">
        <w:rPr>
          <w:color w:val="131313"/>
          <w:shd w:val="clear" w:color="auto" w:fill="FFFFFF"/>
        </w:rPr>
        <w:t xml:space="preserve">4557/2018 (Α΄ 139), ως ισχύει, προσκομίζεται σχετική εκτύπωση των στοιχείων και πληροφοριών από το εν λόγω Μητρώο. Για τις περιπτώσεις εισηγμένων εταιρειών σε ρυθμιζόμενη αγορά ή σε Πολυμερή Μηχανισμό </w:t>
      </w:r>
      <w:r w:rsidR="00EA151C" w:rsidRPr="007473B4">
        <w:rPr>
          <w:shd w:val="clear" w:color="auto" w:fill="FFFFFF"/>
        </w:rPr>
        <w:t>Διαπραγμάτευσης, προσκομίζονται τα στοιχεία που προβλέπονται στην παράγραφο 2 του ίδιου ως άνω άρθρου και νόμου.</w:t>
      </w:r>
    </w:p>
    <w:p w14:paraId="48C985F9" w14:textId="77777777" w:rsidR="00EA151C" w:rsidRPr="007473B4" w:rsidRDefault="00EA151C" w:rsidP="007473B4">
      <w:pPr>
        <w:spacing w:after="275"/>
        <w:ind w:left="6" w:right="45"/>
        <w:jc w:val="both"/>
        <w:rPr>
          <w:shd w:val="clear" w:color="auto" w:fill="FFFFFF"/>
        </w:rPr>
      </w:pPr>
      <w:r w:rsidRPr="007473B4">
        <w:rPr>
          <w:shd w:val="clear" w:color="auto" w:fill="FFFFFF"/>
        </w:rPr>
        <w:t xml:space="preserve">Επισημαίνεται ότι σε όλες ανεξαιρέτως τις περιπτώσεις, η προσκόμιση των ανωτέρω στοιχείων συνοδεύεται από </w:t>
      </w:r>
      <w:r w:rsidRPr="007473B4">
        <w:t>Υπεύθυνη Δήλωση της παρ. 4 του άρθρου 8 του ν. 1599/1986 (Α΄ 75), αρμοδίως υπογεγραμμένη,  στην οποία θα δηλώνονται τα ανωτέρω αναφερθέντα στοιχεία των πραγματικών δικαιούχων του αποδέκτη των κονδυλίων ή του αναδόχου (κατ’ ελάχιστον, όνομα, επώνυμο, ΑΦΜ και ημερομηνία γέννησης).</w:t>
      </w:r>
    </w:p>
    <w:p w14:paraId="17EC394B" w14:textId="3AA52AB4" w:rsidR="00EA151C" w:rsidRDefault="00EA151C" w:rsidP="007473B4">
      <w:pPr>
        <w:spacing w:after="275"/>
        <w:ind w:left="6" w:right="45"/>
        <w:jc w:val="both"/>
        <w:rPr>
          <w:shd w:val="clear" w:color="auto" w:fill="FFFFFF"/>
        </w:rPr>
      </w:pPr>
      <w:r w:rsidRPr="007473B4">
        <w:rPr>
          <w:shd w:val="clear" w:color="auto" w:fill="FFFFFF"/>
        </w:rPr>
        <w:t>Αναλυτικότερη αναφορά και εξειδίκευση των στοιχείων που συλλέγονται δυνάμει των οριζομένων στο άρθρο 22.2.δ.</w:t>
      </w:r>
      <w:r w:rsidRPr="007473B4">
        <w:rPr>
          <w:shd w:val="clear" w:color="auto" w:fill="FFFFFF"/>
          <w:lang w:val="en-GB"/>
        </w:rPr>
        <w:t>i</w:t>
      </w:r>
      <w:r w:rsidRPr="007473B4">
        <w:rPr>
          <w:shd w:val="clear" w:color="auto" w:fill="FFFFFF"/>
        </w:rPr>
        <w:t xml:space="preserve">) έως </w:t>
      </w:r>
      <w:r w:rsidRPr="007473B4">
        <w:rPr>
          <w:shd w:val="clear" w:color="auto" w:fill="FFFFFF"/>
          <w:lang w:val="en-GB"/>
        </w:rPr>
        <w:t>iii</w:t>
      </w:r>
      <w:r w:rsidRPr="007473B4">
        <w:rPr>
          <w:shd w:val="clear" w:color="auto" w:fill="FFFFFF"/>
        </w:rPr>
        <w:t xml:space="preserve">) του Κανονισμού του ΤΑΑ παρατίθεται στη Διαδικασία Δ20 του </w:t>
      </w:r>
      <w:r w:rsidR="00B32A8A">
        <w:rPr>
          <w:shd w:val="clear" w:color="auto" w:fill="FFFFFF"/>
        </w:rPr>
        <w:t>Εγχειριδίου Διαδικασιών</w:t>
      </w:r>
      <w:r w:rsidRPr="007473B4">
        <w:rPr>
          <w:shd w:val="clear" w:color="auto" w:fill="FFFFFF"/>
        </w:rPr>
        <w:t>.</w:t>
      </w:r>
    </w:p>
    <w:p w14:paraId="4FCCAC17" w14:textId="6DBEC334" w:rsidR="003A473F" w:rsidRPr="009333C8" w:rsidRDefault="003A473F" w:rsidP="007473B4">
      <w:pPr>
        <w:spacing w:after="275"/>
        <w:ind w:left="6" w:right="45"/>
        <w:jc w:val="both"/>
        <w:rPr>
          <w:rFonts w:cstheme="minorHAnsi"/>
        </w:rPr>
      </w:pPr>
      <w:r w:rsidRPr="00816A34">
        <w:t>Το στέλεχος της ΕΥΣΤΑ που διενεργεί τον ανωτέρω έλεγχο δύναται να συλλέγει και κάθε άλλο έγγραφο</w:t>
      </w:r>
      <w:r w:rsidR="00F63BD6" w:rsidRPr="00F165D8">
        <w:t xml:space="preserve"> </w:t>
      </w:r>
      <w:r w:rsidR="00F63BD6">
        <w:t>ή πληροφορία</w:t>
      </w:r>
      <w:r w:rsidRPr="00816A34">
        <w:t xml:space="preserve"> που κρίνει απαραίτητο</w:t>
      </w:r>
      <w:r w:rsidR="00792955">
        <w:t xml:space="preserve"> και να χρησιμοποιεί </w:t>
      </w:r>
      <w:r w:rsidR="009E2F45">
        <w:t>υφιστάμενες</w:t>
      </w:r>
      <w:r w:rsidR="00792955">
        <w:t xml:space="preserve"> βάσεις δεδομένων </w:t>
      </w:r>
      <w:r w:rsidRPr="00816A34">
        <w:t xml:space="preserve"> </w:t>
      </w:r>
      <w:r w:rsidR="009E2F45">
        <w:t xml:space="preserve">ή και αναφορές </w:t>
      </w:r>
      <w:r w:rsidRPr="00816A34">
        <w:t xml:space="preserve">για την εξαγωγή ασφαλούς συμπεράσματος επί της </w:t>
      </w:r>
      <w:r w:rsidRPr="00615B10">
        <w:rPr>
          <w:rFonts w:cstheme="minorHAnsi"/>
        </w:rPr>
        <w:lastRenderedPageBreak/>
        <w:t>εργασίας που διενεργεί</w:t>
      </w:r>
      <w:r w:rsidR="00034D4D" w:rsidRPr="00615B10">
        <w:rPr>
          <w:rFonts w:cstheme="minorHAnsi"/>
        </w:rPr>
        <w:t xml:space="preserve"> </w:t>
      </w:r>
      <w:r w:rsidR="00034D4D" w:rsidRPr="009333C8">
        <w:rPr>
          <w:rFonts w:cstheme="minorHAnsi"/>
        </w:rPr>
        <w:t>και να αξιοποιεί</w:t>
      </w:r>
      <w:r w:rsidR="004D6FDF" w:rsidRPr="009333C8">
        <w:rPr>
          <w:rFonts w:cstheme="minorHAnsi"/>
        </w:rPr>
        <w:t>,</w:t>
      </w:r>
      <w:r w:rsidR="00AB17B2" w:rsidRPr="009333C8">
        <w:rPr>
          <w:rFonts w:cstheme="minorHAnsi"/>
        </w:rPr>
        <w:t xml:space="preserve"> συμπληρωματικά</w:t>
      </w:r>
      <w:r w:rsidR="004D6FDF" w:rsidRPr="009333C8">
        <w:rPr>
          <w:rFonts w:cstheme="minorHAnsi"/>
        </w:rPr>
        <w:t xml:space="preserve">, </w:t>
      </w:r>
      <w:r w:rsidR="00034D4D" w:rsidRPr="009333C8">
        <w:rPr>
          <w:rFonts w:cstheme="minorHAnsi"/>
        </w:rPr>
        <w:t>τ</w:t>
      </w:r>
      <w:r w:rsidR="00920B75" w:rsidRPr="009333C8">
        <w:rPr>
          <w:rFonts w:cstheme="minorHAnsi"/>
        </w:rPr>
        <w:t xml:space="preserve">α </w:t>
      </w:r>
      <w:r w:rsidR="001330D3" w:rsidRPr="009333C8">
        <w:rPr>
          <w:rFonts w:cstheme="minorHAnsi"/>
        </w:rPr>
        <w:t>δημοσιοποιημένα στοιχεία</w:t>
      </w:r>
      <w:r w:rsidR="00920B75" w:rsidRPr="009333C8">
        <w:rPr>
          <w:rFonts w:cstheme="minorHAnsi"/>
        </w:rPr>
        <w:t xml:space="preserve"> </w:t>
      </w:r>
      <w:r w:rsidR="00034D4D" w:rsidRPr="009333C8">
        <w:rPr>
          <w:rFonts w:cstheme="minorHAnsi"/>
        </w:rPr>
        <w:t>τ</w:t>
      </w:r>
      <w:r w:rsidR="00920B75" w:rsidRPr="009333C8">
        <w:rPr>
          <w:rFonts w:cstheme="minorHAnsi"/>
        </w:rPr>
        <w:t xml:space="preserve">ου </w:t>
      </w:r>
      <w:r w:rsidR="009333C8" w:rsidRPr="009333C8">
        <w:rPr>
          <w:rFonts w:cstheme="minorHAnsi"/>
        </w:rPr>
        <w:t xml:space="preserve">εργαλείου </w:t>
      </w:r>
      <w:r w:rsidR="009333C8" w:rsidRPr="009333C8">
        <w:t xml:space="preserve">εξόρυξης δεδομένων της Επιτροπής </w:t>
      </w:r>
      <w:r w:rsidR="009333C8" w:rsidRPr="009333C8">
        <w:rPr>
          <w:lang w:val="en-GB"/>
        </w:rPr>
        <w:t>ARACHNE</w:t>
      </w:r>
      <w:r w:rsidR="004D6FDF" w:rsidRPr="009333C8">
        <w:rPr>
          <w:rFonts w:cstheme="minorHAnsi"/>
        </w:rPr>
        <w:t xml:space="preserve">, </w:t>
      </w:r>
      <w:r w:rsidR="00615B10" w:rsidRPr="009333C8">
        <w:rPr>
          <w:rFonts w:cstheme="minorHAnsi"/>
        </w:rPr>
        <w:t xml:space="preserve">προκειμένου να εντοπίζονται οι συμβάσεις </w:t>
      </w:r>
      <w:r w:rsidR="00AB17B2" w:rsidRPr="009333C8">
        <w:rPr>
          <w:rFonts w:cstheme="minorHAnsi"/>
        </w:rPr>
        <w:t>που ενδέχεται να παρουσιάζουν κινδύνους απάτης, σύγκρουσης συμφερόντων ή παρατυπιών.</w:t>
      </w:r>
    </w:p>
    <w:p w14:paraId="1FFB441A" w14:textId="22AA6C16" w:rsidR="00473709" w:rsidRDefault="00473709" w:rsidP="00473709">
      <w:pPr>
        <w:jc w:val="both"/>
        <w:rPr>
          <w:rFonts w:cstheme="minorHAnsi"/>
        </w:rPr>
      </w:pPr>
      <w:r w:rsidRPr="00002585">
        <w:rPr>
          <w:rFonts w:eastAsia="Tahoma" w:cs="Tahoma"/>
          <w:b/>
          <w:color w:val="2E74B5" w:themeColor="accent1" w:themeShade="BF"/>
          <w:lang w:eastAsia="el-GR"/>
        </w:rPr>
        <w:t>3.1</w:t>
      </w:r>
      <w:r>
        <w:rPr>
          <w:rFonts w:eastAsia="Tahoma" w:cs="Tahoma"/>
          <w:b/>
          <w:color w:val="2E74B5" w:themeColor="accent1" w:themeShade="BF"/>
          <w:lang w:eastAsia="el-GR"/>
        </w:rPr>
        <w:t>.</w:t>
      </w:r>
      <w:r w:rsidR="00EA151C">
        <w:rPr>
          <w:rFonts w:eastAsia="Tahoma" w:cs="Tahoma"/>
          <w:b/>
          <w:color w:val="2E74B5" w:themeColor="accent1" w:themeShade="BF"/>
          <w:lang w:eastAsia="el-GR"/>
        </w:rPr>
        <w:t>2</w:t>
      </w:r>
      <w:r w:rsidRPr="00002585">
        <w:rPr>
          <w:rFonts w:eastAsia="Tahoma" w:cs="Tahoma"/>
          <w:b/>
          <w:color w:val="2E74B5" w:themeColor="accent1" w:themeShade="BF"/>
          <w:lang w:eastAsia="el-GR"/>
        </w:rPr>
        <w:t xml:space="preserve"> </w:t>
      </w:r>
      <w:r>
        <w:rPr>
          <w:rFonts w:eastAsia="Tahoma" w:cs="Tahoma"/>
          <w:b/>
          <w:color w:val="2E74B5" w:themeColor="accent1" w:themeShade="BF"/>
          <w:lang w:eastAsia="el-GR"/>
        </w:rPr>
        <w:t>Δέουσες ενέργειες αντιμετώπισης</w:t>
      </w:r>
    </w:p>
    <w:p w14:paraId="08371F82" w14:textId="7793B6B2" w:rsidR="00D65B21" w:rsidRPr="00D65B21" w:rsidRDefault="00D65B21" w:rsidP="00473709">
      <w:pPr>
        <w:jc w:val="both"/>
        <w:rPr>
          <w:rFonts w:eastAsia="Tahoma" w:cs="Tahoma"/>
          <w:bCs/>
          <w:color w:val="2E74B5" w:themeColor="accent1" w:themeShade="BF"/>
          <w:lang w:eastAsia="el-GR"/>
        </w:rPr>
      </w:pPr>
      <w:r w:rsidRPr="00D65B21">
        <w:rPr>
          <w:rFonts w:eastAsia="Tahoma" w:cs="Tahoma"/>
          <w:bCs/>
          <w:color w:val="2E74B5" w:themeColor="accent1" w:themeShade="BF"/>
          <w:lang w:eastAsia="el-GR"/>
        </w:rPr>
        <w:t>i) Μη εντοπισμός αποκλίσεων</w:t>
      </w:r>
    </w:p>
    <w:p w14:paraId="486F1BA5" w14:textId="1F6BB41E" w:rsidR="00286801" w:rsidRDefault="00286801" w:rsidP="00473709">
      <w:pPr>
        <w:jc w:val="both"/>
        <w:rPr>
          <w:rFonts w:cstheme="minorHAnsi"/>
        </w:rPr>
      </w:pPr>
      <w:r>
        <w:t xml:space="preserve">Μετά το πέρας του ελέγχου σημείου από την ΕΥΣΤΑ, η εργασία αποτυπώνεται στο σχετικό </w:t>
      </w:r>
      <w:r w:rsidRPr="00BA0AE5">
        <w:rPr>
          <w:i/>
          <w:iCs/>
        </w:rPr>
        <w:t xml:space="preserve">έντυπο </w:t>
      </w:r>
      <w:r w:rsidRPr="00BA0AE5">
        <w:rPr>
          <w:rFonts w:cstheme="minorHAnsi"/>
          <w:i/>
          <w:iCs/>
        </w:rPr>
        <w:t>Δ10_Ε2</w:t>
      </w:r>
      <w:r w:rsidR="00BA0AE5">
        <w:rPr>
          <w:rFonts w:cstheme="minorHAnsi"/>
        </w:rPr>
        <w:t xml:space="preserve"> και εάν δεν εντοπισθούν αποκλίσεις, ο χειριστής της ΕΥΣΤΑ ολοκληρώνει τη διαδικασία στο ΟΠΣ ΤΑ, αλλάζοντας την κατάσταση του αιτήματος του φορέα από «Υποβληθέν», </w:t>
      </w:r>
      <w:r w:rsidR="00BA0AE5">
        <w:t>σε «Οριστικοποιημένο». Ακολούθως ο ΦΥ δύναται να προχωρήσει και να ολοκληρώσει τη διαδικασία συμβ</w:t>
      </w:r>
      <w:r w:rsidR="00C60D58">
        <w:t>α</w:t>
      </w:r>
      <w:r w:rsidR="00BA0AE5">
        <w:t xml:space="preserve">σιοποίησης, με την επιφύλαξη </w:t>
      </w:r>
      <w:r w:rsidR="00955B3C">
        <w:t xml:space="preserve">πάντα </w:t>
      </w:r>
      <w:r w:rsidR="00BA0AE5">
        <w:t xml:space="preserve">των οριζομένων στη Διαδικασία Δ5 του παρόντος, για  </w:t>
      </w:r>
      <w:r w:rsidR="0025474A">
        <w:t xml:space="preserve">τις συμβάσεις </w:t>
      </w:r>
      <w:r w:rsidR="00FE317D">
        <w:t xml:space="preserve">άνω των ορίων όπου απαιτείται </w:t>
      </w:r>
      <w:r w:rsidR="00BA0AE5">
        <w:t>και η χορήγηση σύμφωνης γνώμης από την ΕΥΣΤΑ.</w:t>
      </w:r>
      <w:r w:rsidR="00BA0AE5">
        <w:rPr>
          <w:rFonts w:cstheme="minorHAnsi"/>
        </w:rPr>
        <w:t xml:space="preserve"> </w:t>
      </w:r>
    </w:p>
    <w:p w14:paraId="3EA87BA9" w14:textId="5E17DE3E" w:rsidR="00D65B21" w:rsidRPr="00D65B21" w:rsidRDefault="00D65B21" w:rsidP="00D65B21">
      <w:pPr>
        <w:jc w:val="both"/>
        <w:rPr>
          <w:rFonts w:eastAsia="Tahoma" w:cs="Tahoma"/>
          <w:bCs/>
          <w:color w:val="2E74B5" w:themeColor="accent1" w:themeShade="BF"/>
          <w:lang w:eastAsia="el-GR"/>
        </w:rPr>
      </w:pPr>
      <w:r w:rsidRPr="00D65B21">
        <w:rPr>
          <w:rFonts w:eastAsia="Tahoma" w:cs="Tahoma"/>
          <w:bCs/>
          <w:color w:val="2E74B5" w:themeColor="accent1" w:themeShade="BF"/>
          <w:lang w:eastAsia="el-GR"/>
        </w:rPr>
        <w:t xml:space="preserve">ii) </w:t>
      </w:r>
      <w:r>
        <w:rPr>
          <w:rFonts w:eastAsia="Tahoma" w:cs="Tahoma"/>
          <w:bCs/>
          <w:color w:val="2E74B5" w:themeColor="accent1" w:themeShade="BF"/>
          <w:lang w:eastAsia="el-GR"/>
        </w:rPr>
        <w:t>Ε</w:t>
      </w:r>
      <w:r w:rsidRPr="00D65B21">
        <w:rPr>
          <w:rFonts w:eastAsia="Tahoma" w:cs="Tahoma"/>
          <w:bCs/>
          <w:color w:val="2E74B5" w:themeColor="accent1" w:themeShade="BF"/>
          <w:lang w:eastAsia="el-GR"/>
        </w:rPr>
        <w:t>ντοπισμός αποκλίσεων</w:t>
      </w:r>
    </w:p>
    <w:p w14:paraId="1F058FE9" w14:textId="15C4FC37" w:rsidR="00D508C4" w:rsidRDefault="00D65B21" w:rsidP="00473709">
      <w:pPr>
        <w:jc w:val="both"/>
      </w:pPr>
      <w:r w:rsidRPr="00D65B21">
        <w:t xml:space="preserve"> </w:t>
      </w:r>
      <w:r w:rsidR="00473709" w:rsidRPr="00CD7F22">
        <w:t xml:space="preserve">Σε περίπτωση που στο πλαίσιο της ανωτέρω εργασίας εντοπισθεί υπόνοια περί σύγκρουσης συμφερόντων </w:t>
      </w:r>
      <w:r w:rsidR="00473709">
        <w:t>και καθώς σταθερό μέλημα της ΕΥΣΤΑ είναι η συνεχής πρόληψη, ο εντοπισμός και ο κατάλληλος χειρισμό</w:t>
      </w:r>
      <w:r w:rsidR="00FE317D">
        <w:t>ς</w:t>
      </w:r>
      <w:r w:rsidR="00473709">
        <w:t xml:space="preserve"> συγκρούσεων συμφερόντων σε όλα τα στάδια της διαγωνιστικής διαδικασίας, πραγματοποιείται σχετική επικοινωνία με </w:t>
      </w:r>
      <w:r w:rsidR="00955B3C">
        <w:t>τον φορέα υλοποίησης/</w:t>
      </w:r>
      <w:r w:rsidR="00473709">
        <w:t xml:space="preserve">αναθέτουσα αρχή προς </w:t>
      </w:r>
      <w:r w:rsidR="00305527">
        <w:t xml:space="preserve">επιβεβαίωση και </w:t>
      </w:r>
      <w:r w:rsidR="00473709">
        <w:t>στάθμιση των πραγματικών περιστατικών που φαίνεται να εντοπίζονται</w:t>
      </w:r>
      <w:r w:rsidR="00305527">
        <w:t xml:space="preserve">, καθώς </w:t>
      </w:r>
      <w:r w:rsidR="00473709">
        <w:t xml:space="preserve">και ικανοποιητική αντιμετώπιση αυτών. </w:t>
      </w:r>
    </w:p>
    <w:p w14:paraId="42F5CE1A" w14:textId="5AECDBA3" w:rsidR="00473709" w:rsidRPr="009804C4" w:rsidRDefault="00473709" w:rsidP="00473709">
      <w:pPr>
        <w:jc w:val="both"/>
      </w:pPr>
      <w:r>
        <w:t>Παράλληλα</w:t>
      </w:r>
      <w:r w:rsidR="00D65B21">
        <w:t>,</w:t>
      </w:r>
      <w:r>
        <w:t xml:space="preserve"> </w:t>
      </w:r>
      <w:r w:rsidRPr="00CD7F22">
        <w:t xml:space="preserve">εφαρμόζεται η Διαδικασία Δ12 (Εξέταση Ενδείξεων Απάτης) του </w:t>
      </w:r>
      <w:r w:rsidRPr="009804C4">
        <w:t>Εγχειριδίου Διαδικασιών</w:t>
      </w:r>
      <w:r>
        <w:t>,</w:t>
      </w:r>
      <w:r w:rsidRPr="009804C4">
        <w:t xml:space="preserve"> προκειμένου να αξιολογηθεί αν απαιτείται περαιτέρω έρευνα. Σε περίπτωση που κριθεί ότι απαιτείται περαιτέρω έρευνα από άλλη αρχή (ΕΑΔ), η εν λόγω αρχή </w:t>
      </w:r>
      <w:r>
        <w:t>ενημερώνεται αρμοδίως</w:t>
      </w:r>
      <w:r w:rsidRPr="009804C4">
        <w:t xml:space="preserve"> και για τις ενέργειες της ΕΥΣΤΑ κατά τον προληπτικό έλεγχο.</w:t>
      </w:r>
    </w:p>
    <w:p w14:paraId="2AB5C207" w14:textId="0E4BB158" w:rsidR="00473709" w:rsidRPr="00CD7F22" w:rsidRDefault="00473709" w:rsidP="00473709">
      <w:pPr>
        <w:jc w:val="both"/>
      </w:pPr>
      <w:r w:rsidRPr="00CD7F22">
        <w:t>Ειδικότερα αναφέρεται ότι</w:t>
      </w:r>
      <w:r w:rsidR="00142730">
        <w:t>,</w:t>
      </w:r>
      <w:r w:rsidRPr="00CD7F22">
        <w:t xml:space="preserve"> σύμφωνα και με τα οριζόμενα στις </w:t>
      </w:r>
      <w:r w:rsidRPr="00A64B34">
        <w:rPr>
          <w:i/>
          <w:iCs/>
        </w:rPr>
        <w:t>Κατευθυντήριες γραμμές</w:t>
      </w:r>
      <w:r w:rsidRPr="00CD7F22">
        <w:t xml:space="preserve"> </w:t>
      </w:r>
      <w:r w:rsidR="00A64B34" w:rsidRPr="00355C17">
        <w:rPr>
          <w:i/>
          <w:iCs/>
        </w:rPr>
        <w:t>(2021/C 121/01)</w:t>
      </w:r>
      <w:r w:rsidR="00A64B34">
        <w:rPr>
          <w:i/>
          <w:iCs/>
        </w:rPr>
        <w:t xml:space="preserve"> </w:t>
      </w:r>
      <w:r w:rsidRPr="00CD7F22">
        <w:t xml:space="preserve">της Επιτροπής, όταν υφίσταται κατάσταση που μπορεί αντικειμενικά να εκληφθεί ως σύγκρουση συμφερόντων, αυτή εξετάζεται και επιλύεται κατά τρόπο ώστε να μην μπορεί πλέον να εκληφθεί αντικειμενικά ως τέτοια. </w:t>
      </w:r>
      <w:r w:rsidR="00FA7BF4">
        <w:t xml:space="preserve">Σε αυτό το πλαίσιο, </w:t>
      </w:r>
      <w:r w:rsidRPr="00CD7F22">
        <w:t xml:space="preserve">και με την επιφύλαξη τυχόν αυστηρότερων κανόνων, οι δημοσιονομικοί παράγοντες και άλλα πρόσωπα που </w:t>
      </w:r>
      <w:r w:rsidR="00142730">
        <w:t>συμμετείχαν</w:t>
      </w:r>
      <w:r w:rsidRPr="00CD7F22">
        <w:t xml:space="preserve"> στην εξεταζόμενη διαδικασία</w:t>
      </w:r>
      <w:r w:rsidR="00A64B34">
        <w:t xml:space="preserve">, εφόσον προκύπτει από την εξέταση ότι η αμερόληπτη κρίση κάποιου εξ αυτών μπορεί να </w:t>
      </w:r>
      <w:r w:rsidR="00235872">
        <w:t>παρεμποδίστηκε/</w:t>
      </w:r>
      <w:r w:rsidR="00A64B34">
        <w:t xml:space="preserve">παρεμποδιστεί από προσωπικά συμφέροντα, </w:t>
      </w:r>
      <w:r w:rsidRPr="00CD7F22">
        <w:t xml:space="preserve"> πρέπει</w:t>
      </w:r>
      <w:r w:rsidR="00A64B34">
        <w:t>, άμεσα</w:t>
      </w:r>
      <w:r w:rsidRPr="00CD7F22">
        <w:t>:</w:t>
      </w:r>
    </w:p>
    <w:p w14:paraId="19E16149" w14:textId="34EED514" w:rsidR="00473709" w:rsidRPr="00CD7F22" w:rsidRDefault="00473709" w:rsidP="00A64B34">
      <w:pPr>
        <w:pStyle w:val="a3"/>
        <w:numPr>
          <w:ilvl w:val="0"/>
          <w:numId w:val="2"/>
        </w:numPr>
        <w:jc w:val="both"/>
      </w:pPr>
      <w:r w:rsidRPr="00CD7F22">
        <w:t xml:space="preserve">να απέχουν από οποιαδήποτε ενέργεια από την οποία θα μπορούσε να προκύψει σύγκρουση των προσωπικών συμφερόντων τους με τα συμφέροντα της </w:t>
      </w:r>
      <w:r w:rsidR="00A64B34">
        <w:t>Ένωσης και τα εθνικά</w:t>
      </w:r>
      <w:r w:rsidRPr="00CD7F22">
        <w:t>,</w:t>
      </w:r>
    </w:p>
    <w:p w14:paraId="765DDFB8" w14:textId="67EAD08B" w:rsidR="00473709" w:rsidRPr="00CD7F22" w:rsidRDefault="00473709" w:rsidP="00A64B34">
      <w:pPr>
        <w:pStyle w:val="a3"/>
        <w:numPr>
          <w:ilvl w:val="0"/>
          <w:numId w:val="2"/>
        </w:numPr>
        <w:jc w:val="both"/>
      </w:pPr>
      <w:r w:rsidRPr="00CD7F22">
        <w:t xml:space="preserve">να </w:t>
      </w:r>
      <w:r w:rsidR="00EC1E97">
        <w:t>λάβουν</w:t>
      </w:r>
      <w:r w:rsidRPr="00CD7F22">
        <w:t xml:space="preserve"> τα κατάλληλα μέτρα για την αποφυγή φαινομένων σύγκρουσης συμφερόντων στα καθήκοντα για τα οποία είναι αρμόδιοι,</w:t>
      </w:r>
    </w:p>
    <w:p w14:paraId="0A5C8A83" w14:textId="51B2227A" w:rsidR="00473709" w:rsidRPr="00CD7F22" w:rsidRDefault="00473709" w:rsidP="00A64B34">
      <w:pPr>
        <w:pStyle w:val="a3"/>
        <w:numPr>
          <w:ilvl w:val="0"/>
          <w:numId w:val="2"/>
        </w:numPr>
        <w:jc w:val="both"/>
      </w:pPr>
      <w:r w:rsidRPr="00CD7F22">
        <w:t xml:space="preserve">να </w:t>
      </w:r>
      <w:r w:rsidR="00EC1E97">
        <w:t>λάβουν</w:t>
      </w:r>
      <w:r w:rsidRPr="00CD7F22">
        <w:t xml:space="preserve"> τα κατάλληλα μέτρα για την αντιμετώπιση καταστάσεων που μπορεί αντικειμενικά να εκληφθούν ως σύγκρουση συμφερόντων.</w:t>
      </w:r>
    </w:p>
    <w:p w14:paraId="1B3A7006" w14:textId="29C98B3E" w:rsidR="00473709" w:rsidRPr="00CD7F22" w:rsidRDefault="00473709" w:rsidP="00473709">
      <w:pPr>
        <w:jc w:val="both"/>
      </w:pPr>
      <w:r w:rsidRPr="00CD7F22">
        <w:lastRenderedPageBreak/>
        <w:t xml:space="preserve">Επιπλέον, όταν υπάρχει κίνδυνος σύγκρουσης συμφερόντων στην οποία εμπλέκεται δημοσιονομικός παράγοντας </w:t>
      </w:r>
      <w:r w:rsidR="00FA7BF4">
        <w:t>ή</w:t>
      </w:r>
      <w:r w:rsidRPr="00CD7F22">
        <w:t xml:space="preserve"> άλλο πρόσωπο που συμμετέχει στην εξεταζόμενη διαδικασία</w:t>
      </w:r>
      <w:r w:rsidR="00BB5B3A">
        <w:t>:</w:t>
      </w:r>
      <w:r w:rsidRPr="00CD7F22">
        <w:t xml:space="preserve">  </w:t>
      </w:r>
    </w:p>
    <w:p w14:paraId="2BE86501" w14:textId="307DEC7B" w:rsidR="00473709" w:rsidRPr="00CD7F22" w:rsidRDefault="004C3D09" w:rsidP="00B80227">
      <w:pPr>
        <w:pStyle w:val="a3"/>
        <w:numPr>
          <w:ilvl w:val="0"/>
          <w:numId w:val="2"/>
        </w:numPr>
        <w:jc w:val="both"/>
      </w:pPr>
      <w:r>
        <w:t>Τ</w:t>
      </w:r>
      <w:r w:rsidR="00473709" w:rsidRPr="00CD7F22">
        <w:t xml:space="preserve">ο εμπλεκόμενο πρόσωπο </w:t>
      </w:r>
      <w:r w:rsidR="00D575FC">
        <w:t>οφείλει</w:t>
      </w:r>
      <w:r w:rsidR="00D575FC" w:rsidRPr="00CD7F22">
        <w:t xml:space="preserve"> </w:t>
      </w:r>
      <w:r w:rsidR="00473709" w:rsidRPr="00CD7F22">
        <w:t>να αναφέρει το ζήτημα στον ιεραρχικά ανώτερό του</w:t>
      </w:r>
      <w:r w:rsidR="00BB5B3A">
        <w:t>.</w:t>
      </w:r>
    </w:p>
    <w:p w14:paraId="0D77B481" w14:textId="364011C3" w:rsidR="00473709" w:rsidRPr="00CD7F22" w:rsidRDefault="004C3D09" w:rsidP="00B80227">
      <w:pPr>
        <w:pStyle w:val="a3"/>
        <w:numPr>
          <w:ilvl w:val="0"/>
          <w:numId w:val="2"/>
        </w:numPr>
        <w:jc w:val="both"/>
      </w:pPr>
      <w:r>
        <w:t xml:space="preserve">Ο </w:t>
      </w:r>
      <w:r w:rsidR="00473709" w:rsidRPr="00CD7F22">
        <w:t xml:space="preserve">αρμόδιος ιεραρχικά ανώτερος </w:t>
      </w:r>
      <w:r w:rsidR="00D575FC">
        <w:t>οφείλει</w:t>
      </w:r>
      <w:r w:rsidR="00D575FC" w:rsidRPr="00CD7F22">
        <w:t xml:space="preserve"> </w:t>
      </w:r>
      <w:r w:rsidR="00473709" w:rsidRPr="00CD7F22">
        <w:t xml:space="preserve">να επιβεβαιώνει </w:t>
      </w:r>
      <w:r w:rsidR="005C7A59">
        <w:t>εγγρ</w:t>
      </w:r>
      <w:r w:rsidR="00BA4866">
        <w:t xml:space="preserve">άφως </w:t>
      </w:r>
      <w:r w:rsidR="00473709" w:rsidRPr="00CD7F22">
        <w:t xml:space="preserve">αν υπάρχει σύγκρουση συμφερόντων και το εμπλεκόμενο πρόσωπο υποχρεούται να απέχει από τη δημιουργία τετελεσμένων γεγονότων ενόσω εκκρεμεί η απόφαση του προϊσταμένου του. Ο ιεραρχικά ανώτερος συζητά με το εμπλεκόμενο πρόσωπο σχετικά με την κατάσταση προκειμένου να αξιολογήσει καλύτερα τον κίνδυνο μεροληπτικής εκτέλεσης των καθηκόντων του και αξιολογεί την ανάγκη αντικατάστασης του προσώπου που έχει δηλώσει πιθανή σύγκρουση συμφερόντων. Κατά την κρίση </w:t>
      </w:r>
      <w:r w:rsidR="00FA7BF4">
        <w:t xml:space="preserve">του, ο ανωτέρω </w:t>
      </w:r>
      <w:r w:rsidR="00473709" w:rsidRPr="00CD7F22">
        <w:t xml:space="preserve">εξετάζει προσεκτικά </w:t>
      </w:r>
      <w:r w:rsidR="00FA7BF4">
        <w:t xml:space="preserve">εάν ενδέχεται να διατρέξει κίνδυνο </w:t>
      </w:r>
      <w:r w:rsidR="00473709" w:rsidRPr="00CD7F22">
        <w:t>η ακεραιότητα του φορέα</w:t>
      </w:r>
      <w:r w:rsidR="00FA7BF4">
        <w:t>,</w:t>
      </w:r>
      <w:r w:rsidR="00473709" w:rsidRPr="00CD7F22">
        <w:t xml:space="preserve"> λόγω ανεπίλυτης σύγκρουσης συμφερόντων.</w:t>
      </w:r>
    </w:p>
    <w:p w14:paraId="445463DF" w14:textId="48B14D84" w:rsidR="00473709" w:rsidRPr="00CD7F22" w:rsidRDefault="00473709" w:rsidP="00B80227">
      <w:pPr>
        <w:pStyle w:val="a3"/>
        <w:numPr>
          <w:ilvl w:val="0"/>
          <w:numId w:val="2"/>
        </w:numPr>
        <w:jc w:val="both"/>
      </w:pPr>
      <w:r w:rsidRPr="00CD7F22">
        <w:t xml:space="preserve">Όταν διαπιστώνεται ότι έχει προκύψει σύγκρουση συμφερόντων, η αρμόδια αρχή (π.χ. αναθέτουσα αρχή) </w:t>
      </w:r>
      <w:r w:rsidR="00FD2378">
        <w:t>υποχρεούται ν</w:t>
      </w:r>
      <w:r w:rsidR="001C0B35">
        <w:t>α</w:t>
      </w:r>
      <w:r w:rsidRPr="00CD7F22">
        <w:t xml:space="preserve"> διασφαλίζει ότι το εμπλεκόμενο μέλος του προσωπικού παύει κάθε σχετική δραστηριότητα που σχετίζεται με την εκτέλεση της εξεταζόμενης </w:t>
      </w:r>
      <w:r w:rsidR="004C3D09" w:rsidRPr="00CD7F22">
        <w:t>ενέργειας</w:t>
      </w:r>
      <w:r w:rsidRPr="00CD7F22">
        <w:t>, συμπεριλαμβανομένων τυχόν προπαρασκευαστικών πράξεων.</w:t>
      </w:r>
    </w:p>
    <w:p w14:paraId="2AEE1A8A" w14:textId="6FAB6853" w:rsidR="00473709" w:rsidRPr="00CD7F22" w:rsidRDefault="00473709" w:rsidP="00D508C4">
      <w:pPr>
        <w:jc w:val="both"/>
      </w:pPr>
      <w:r w:rsidRPr="00CD7F22">
        <w:t xml:space="preserve">Είναι σαφές </w:t>
      </w:r>
      <w:r w:rsidR="00305527">
        <w:t xml:space="preserve">πως επί όλων των ενεργειών που αναλαμβάνονται από την αναθέτουσα αρχή, </w:t>
      </w:r>
      <w:r w:rsidR="00305527" w:rsidRPr="00CD7F22">
        <w:t>για την αντιμετώπιση του ζητήματος που έχει ανακύψει</w:t>
      </w:r>
      <w:r w:rsidR="00305527">
        <w:t xml:space="preserve">, </w:t>
      </w:r>
      <w:r w:rsidR="00305527" w:rsidRPr="00CD7F22">
        <w:t>αλλά και προκειμένου να καταστεί δυνατή η συνέχιση των δραστηριοτήτων</w:t>
      </w:r>
      <w:r w:rsidR="00305527">
        <w:t xml:space="preserve">, ενημερώνεται ενδελεχώς και τεκμηριωμένα η ΕΥΣΤΑ και όποια άλλη αρχή απαιτηθεί. </w:t>
      </w:r>
    </w:p>
    <w:p w14:paraId="5238B207" w14:textId="2C87A414" w:rsidR="00473709" w:rsidRPr="00CD7F22" w:rsidRDefault="00473709" w:rsidP="00D508C4">
      <w:pPr>
        <w:jc w:val="both"/>
      </w:pPr>
      <w:r w:rsidRPr="00CD7F22">
        <w:t> Σε περίπτωση ανεπίλυτης κατάστασης που εκλαμβάνεται αντικειμενικά ως σύγκρουση συμφερόντων ή σε περίπτωση επιβεβαιωμένης σύγκρουσης συμφερόντων, όταν π.χ. μέλος της αναθέτουσας αρχής χρησιμοποιεί στην πράξη την εξουσία του για να ευνοήσει/ωφελήσει εσκεμμένα οικονομική οντότητα που ανήκει σε μέλος της άμεσης οικογένειάς του, οι καταστάσεις αυτές θα πρέπει να οδηγούν στην εξέταση του αντικτύπου στα οικονομικά συμφέροντα της Ένωσης και τα εθνικά, με σκοπό τον καθορισμό κατάλληλων διορθωτικών μέτρων (π.χ. ακύρωση και επαναξιολόγηση διαδικασιών ανάθεσης, εφαρμογή οριζόντιας δημοσιονομικής διόρθωσης κ.λπ.).</w:t>
      </w:r>
    </w:p>
    <w:p w14:paraId="6A07A946" w14:textId="30C41F29" w:rsidR="00473709" w:rsidRPr="00CD7F22" w:rsidRDefault="00473709" w:rsidP="00473709">
      <w:pPr>
        <w:jc w:val="both"/>
      </w:pPr>
      <w:r w:rsidRPr="00CD7F22">
        <w:t xml:space="preserve"> Τέλος, ο εντοπισμός τέτοιων καταστάσεων δύναται πάντα </w:t>
      </w:r>
      <w:r w:rsidR="00123B9C">
        <w:t xml:space="preserve">να αναδείξει και την τέλεση </w:t>
      </w:r>
      <w:r w:rsidRPr="00CD7F22">
        <w:t>παράνομη</w:t>
      </w:r>
      <w:r w:rsidR="00123B9C">
        <w:t>ς</w:t>
      </w:r>
      <w:r w:rsidRPr="00CD7F22">
        <w:t xml:space="preserve"> πράξη</w:t>
      </w:r>
      <w:r w:rsidR="00123B9C">
        <w:t>ς</w:t>
      </w:r>
      <w:r w:rsidRPr="00CD7F22">
        <w:t xml:space="preserve"> βάσει του διοικητικού, του δημοσιοϋπαλληλικού ή του ποινικού δικαίου και, εάν συντρέξει τέτοια περίπτωση, </w:t>
      </w:r>
      <w:r w:rsidR="00123B9C">
        <w:t xml:space="preserve">αυτή </w:t>
      </w:r>
      <w:r w:rsidRPr="00CD7F22">
        <w:t>τιμωρ</w:t>
      </w:r>
      <w:r w:rsidR="00123B9C">
        <w:t>είτ</w:t>
      </w:r>
      <w:r w:rsidRPr="00CD7F22">
        <w:t>αι αναλόγως.</w:t>
      </w:r>
    </w:p>
    <w:bookmarkEnd w:id="1"/>
    <w:p w14:paraId="3F5527E4" w14:textId="77777777" w:rsidR="00002585" w:rsidRPr="002C10E8" w:rsidRDefault="00002585" w:rsidP="00002585">
      <w:pPr>
        <w:pBdr>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pBdr>
        <w:shd w:val="clear" w:color="auto" w:fill="2E74B5" w:themeFill="accent1" w:themeFillShade="BF"/>
        <w:spacing w:after="287"/>
        <w:rPr>
          <w:rFonts w:cstheme="minorHAnsi"/>
          <w:b/>
          <w:bCs/>
          <w:color w:val="000000" w:themeColor="text1"/>
        </w:rPr>
      </w:pPr>
      <w:r>
        <w:rPr>
          <w:rFonts w:cstheme="minorHAnsi"/>
          <w:b/>
          <w:bCs/>
          <w:color w:val="FFFFFF" w:themeColor="background1"/>
        </w:rPr>
        <w:t>4</w:t>
      </w:r>
      <w:r w:rsidRPr="002C10E8">
        <w:rPr>
          <w:rFonts w:cstheme="minorHAnsi"/>
          <w:b/>
          <w:bCs/>
          <w:color w:val="FFFFFF" w:themeColor="background1"/>
        </w:rPr>
        <w:t xml:space="preserve">. </w:t>
      </w:r>
      <w:r>
        <w:rPr>
          <w:rFonts w:cstheme="minorHAnsi"/>
          <w:b/>
          <w:bCs/>
          <w:color w:val="FFFFFF" w:themeColor="background1"/>
        </w:rPr>
        <w:t>Σχετικά Έντυπα</w:t>
      </w:r>
      <w:r w:rsidRPr="002C10E8">
        <w:rPr>
          <w:rFonts w:cstheme="minorHAnsi"/>
          <w:b/>
          <w:bCs/>
          <w:color w:val="FFFFFF" w:themeColor="background1"/>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00"/>
      </w:tblGrid>
      <w:tr w:rsidR="00CF29D7" w14:paraId="16B11759" w14:textId="77777777" w:rsidTr="000E42D2">
        <w:tc>
          <w:tcPr>
            <w:tcW w:w="1696" w:type="dxa"/>
            <w:tcBorders>
              <w:bottom w:val="single" w:sz="12" w:space="0" w:color="auto"/>
            </w:tcBorders>
            <w:vAlign w:val="center"/>
          </w:tcPr>
          <w:p w14:paraId="40E83D3B" w14:textId="77777777" w:rsidR="00CF29D7" w:rsidRPr="001876AB" w:rsidRDefault="00CF29D7" w:rsidP="00222480">
            <w:pPr>
              <w:jc w:val="both"/>
              <w:rPr>
                <w:rFonts w:cstheme="minorHAnsi"/>
                <w:b/>
              </w:rPr>
            </w:pPr>
            <w:r w:rsidRPr="001876AB">
              <w:rPr>
                <w:rFonts w:cstheme="minorHAnsi"/>
                <w:b/>
              </w:rPr>
              <w:t>Κωδικός</w:t>
            </w:r>
          </w:p>
        </w:tc>
        <w:tc>
          <w:tcPr>
            <w:tcW w:w="6600" w:type="dxa"/>
            <w:tcBorders>
              <w:bottom w:val="single" w:sz="12" w:space="0" w:color="auto"/>
            </w:tcBorders>
            <w:vAlign w:val="center"/>
          </w:tcPr>
          <w:p w14:paraId="2881CD63" w14:textId="77777777" w:rsidR="00CF29D7" w:rsidRPr="001876AB" w:rsidRDefault="00CF29D7" w:rsidP="00222480">
            <w:pPr>
              <w:jc w:val="both"/>
              <w:rPr>
                <w:rFonts w:cstheme="minorHAnsi"/>
                <w:b/>
              </w:rPr>
            </w:pPr>
            <w:r w:rsidRPr="001876AB">
              <w:rPr>
                <w:rFonts w:cstheme="minorHAnsi"/>
                <w:b/>
              </w:rPr>
              <w:t xml:space="preserve">Περιγραφή </w:t>
            </w:r>
          </w:p>
        </w:tc>
      </w:tr>
      <w:tr w:rsidR="00CF29D7" w14:paraId="36BD7BE7" w14:textId="77777777" w:rsidTr="00F165D8">
        <w:tc>
          <w:tcPr>
            <w:tcW w:w="1696" w:type="dxa"/>
            <w:tcBorders>
              <w:top w:val="single" w:sz="12" w:space="0" w:color="auto"/>
              <w:bottom w:val="single" w:sz="8" w:space="0" w:color="auto"/>
            </w:tcBorders>
          </w:tcPr>
          <w:p w14:paraId="22D976A5" w14:textId="77777777" w:rsidR="00CF29D7" w:rsidRDefault="00CF29D7" w:rsidP="00222480">
            <w:pPr>
              <w:jc w:val="both"/>
              <w:rPr>
                <w:rFonts w:cstheme="minorHAnsi"/>
              </w:rPr>
            </w:pPr>
            <w:r w:rsidRPr="00151078">
              <w:rPr>
                <w:rFonts w:cstheme="minorHAnsi"/>
              </w:rPr>
              <w:t>Δ10_Ε1</w:t>
            </w:r>
          </w:p>
        </w:tc>
        <w:tc>
          <w:tcPr>
            <w:tcW w:w="6600" w:type="dxa"/>
            <w:tcBorders>
              <w:top w:val="single" w:sz="12" w:space="0" w:color="auto"/>
              <w:bottom w:val="single" w:sz="8" w:space="0" w:color="auto"/>
            </w:tcBorders>
          </w:tcPr>
          <w:p w14:paraId="0BA94C18" w14:textId="77777777" w:rsidR="00CF29D7" w:rsidRPr="00151078" w:rsidRDefault="00CF29D7" w:rsidP="00CF29D7">
            <w:pPr>
              <w:jc w:val="both"/>
              <w:rPr>
                <w:rFonts w:cstheme="minorHAnsi"/>
              </w:rPr>
            </w:pPr>
            <w:r w:rsidRPr="00151078">
              <w:rPr>
                <w:rFonts w:cstheme="minorHAnsi"/>
              </w:rPr>
              <w:t>Υπόδειγμα Υπεύθυνης Δήλωσης Συμμόρφωσης</w:t>
            </w:r>
          </w:p>
          <w:p w14:paraId="78D8F860" w14:textId="77777777" w:rsidR="00CF29D7" w:rsidRDefault="00CF29D7" w:rsidP="00222480">
            <w:pPr>
              <w:jc w:val="both"/>
              <w:rPr>
                <w:rFonts w:cstheme="minorHAnsi"/>
              </w:rPr>
            </w:pPr>
          </w:p>
        </w:tc>
      </w:tr>
      <w:tr w:rsidR="000E42D2" w14:paraId="2ABF734C" w14:textId="77777777" w:rsidTr="00F165D8">
        <w:trPr>
          <w:trHeight w:val="533"/>
        </w:trPr>
        <w:tc>
          <w:tcPr>
            <w:tcW w:w="1696" w:type="dxa"/>
            <w:tcBorders>
              <w:top w:val="single" w:sz="8" w:space="0" w:color="auto"/>
              <w:bottom w:val="single" w:sz="4" w:space="0" w:color="auto"/>
            </w:tcBorders>
          </w:tcPr>
          <w:p w14:paraId="3F409046" w14:textId="30DD7D46" w:rsidR="000E42D2" w:rsidRPr="00151078" w:rsidRDefault="000E42D2" w:rsidP="000E42D2">
            <w:pPr>
              <w:jc w:val="both"/>
              <w:rPr>
                <w:rFonts w:cstheme="minorHAnsi"/>
              </w:rPr>
            </w:pPr>
            <w:r w:rsidRPr="00151078">
              <w:rPr>
                <w:rFonts w:cstheme="minorHAnsi"/>
              </w:rPr>
              <w:t>Δ10_Ε</w:t>
            </w:r>
            <w:r>
              <w:rPr>
                <w:rFonts w:cstheme="minorHAnsi"/>
              </w:rPr>
              <w:t>2</w:t>
            </w:r>
          </w:p>
        </w:tc>
        <w:tc>
          <w:tcPr>
            <w:tcW w:w="6600" w:type="dxa"/>
            <w:tcBorders>
              <w:top w:val="single" w:sz="8" w:space="0" w:color="auto"/>
              <w:bottom w:val="single" w:sz="4" w:space="0" w:color="auto"/>
            </w:tcBorders>
          </w:tcPr>
          <w:p w14:paraId="2AEB94FD" w14:textId="3D246DCE" w:rsidR="000E42D2" w:rsidRPr="00151078" w:rsidRDefault="000E42D2" w:rsidP="000E42D2">
            <w:pPr>
              <w:jc w:val="both"/>
              <w:rPr>
                <w:rFonts w:cstheme="minorHAnsi"/>
              </w:rPr>
            </w:pPr>
            <w:r>
              <w:rPr>
                <w:rFonts w:cstheme="minorHAnsi"/>
              </w:rPr>
              <w:t xml:space="preserve">Λίστα Εξέτασης </w:t>
            </w:r>
            <w:r w:rsidRPr="000E42D2">
              <w:rPr>
                <w:rFonts w:cstheme="minorHAnsi"/>
              </w:rPr>
              <w:t xml:space="preserve">Μη Ύπαρξης </w:t>
            </w:r>
            <w:r w:rsidRPr="00F165D8">
              <w:rPr>
                <w:rFonts w:cstheme="minorHAnsi"/>
              </w:rPr>
              <w:t>Σύγκρουσης Συμφερόντων κατά τη διαδικασία ανάληψης νομικής δέσμευσης</w:t>
            </w:r>
          </w:p>
        </w:tc>
      </w:tr>
    </w:tbl>
    <w:p w14:paraId="1E471EAB" w14:textId="77777777" w:rsidR="00CF29D7" w:rsidRDefault="00CF29D7" w:rsidP="00222480">
      <w:pPr>
        <w:jc w:val="both"/>
        <w:rPr>
          <w:rFonts w:cstheme="minorHAnsi"/>
        </w:rPr>
      </w:pPr>
    </w:p>
    <w:p w14:paraId="2970401E" w14:textId="77777777" w:rsidR="00C15862" w:rsidRPr="00151078" w:rsidRDefault="00C15862" w:rsidP="001876AB">
      <w:pPr>
        <w:jc w:val="both"/>
        <w:rPr>
          <w:rFonts w:cstheme="minorHAnsi"/>
        </w:rPr>
      </w:pPr>
    </w:p>
    <w:sectPr w:rsidR="00C15862" w:rsidRPr="00151078">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2652" w14:textId="77777777" w:rsidR="006375B5" w:rsidRDefault="006375B5" w:rsidP="009A3CB0">
      <w:pPr>
        <w:spacing w:after="0" w:line="240" w:lineRule="auto"/>
      </w:pPr>
      <w:r>
        <w:separator/>
      </w:r>
    </w:p>
  </w:endnote>
  <w:endnote w:type="continuationSeparator" w:id="0">
    <w:p w14:paraId="64476002" w14:textId="77777777" w:rsidR="006375B5" w:rsidRDefault="006375B5" w:rsidP="009A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3259" w14:textId="7B67D7FE" w:rsidR="009A3CB0" w:rsidRDefault="00C440CD">
    <w:pPr>
      <w:pStyle w:val="a6"/>
    </w:pPr>
    <w:r w:rsidRPr="00604F57">
      <w:rPr>
        <w:rFonts w:cstheme="minorHAnsi"/>
        <w:noProof/>
        <w:lang w:eastAsia="el-GR"/>
      </w:rPr>
      <w:drawing>
        <wp:anchor distT="0" distB="0" distL="114300" distR="114300" simplePos="0" relativeHeight="251661312" behindDoc="0" locked="0" layoutInCell="1" allowOverlap="1" wp14:anchorId="34F31242" wp14:editId="1AB767F2">
          <wp:simplePos x="0" y="0"/>
          <wp:positionH relativeFrom="column">
            <wp:posOffset>3000375</wp:posOffset>
          </wp:positionH>
          <wp:positionV relativeFrom="paragraph">
            <wp:posOffset>-62230</wp:posOffset>
          </wp:positionV>
          <wp:extent cx="2476500" cy="3143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2A22B8">
      <w:rPr>
        <w:rFonts w:ascii="Calibri" w:eastAsia="Calibri" w:hAnsi="Calibri" w:cs="Calibri"/>
        <w:noProof/>
        <w:lang w:eastAsia="el-GR"/>
      </w:rPr>
      <w:t xml:space="preserve"> </w:t>
    </w:r>
    <w:r w:rsidR="009A3CB0">
      <w:rPr>
        <w:rFonts w:ascii="Calibri" w:eastAsia="Calibri" w:hAnsi="Calibri" w:cs="Calibri"/>
        <w:noProof/>
        <w:lang w:eastAsia="el-GR"/>
      </w:rPr>
      <mc:AlternateContent>
        <mc:Choice Requires="wpg">
          <w:drawing>
            <wp:anchor distT="0" distB="0" distL="114300" distR="114300" simplePos="0" relativeHeight="251659264" behindDoc="0" locked="0" layoutInCell="1" allowOverlap="1" wp14:anchorId="082CEF60" wp14:editId="0D69055A">
              <wp:simplePos x="0" y="0"/>
              <wp:positionH relativeFrom="page">
                <wp:posOffset>923925</wp:posOffset>
              </wp:positionH>
              <wp:positionV relativeFrom="page">
                <wp:posOffset>9829800</wp:posOffset>
              </wp:positionV>
              <wp:extent cx="5735320" cy="589915"/>
              <wp:effectExtent l="0" t="0" r="0" b="0"/>
              <wp:wrapSquare wrapText="bothSides"/>
              <wp:docPr id="11412" name="Group 11412"/>
              <wp:cNvGraphicFramePr/>
              <a:graphic xmlns:a="http://schemas.openxmlformats.org/drawingml/2006/main">
                <a:graphicData uri="http://schemas.microsoft.com/office/word/2010/wordprocessingGroup">
                  <wpg:wgp>
                    <wpg:cNvGrpSpPr/>
                    <wpg:grpSpPr>
                      <a:xfrm>
                        <a:off x="0" y="0"/>
                        <a:ext cx="5735320" cy="589915"/>
                        <a:chOff x="0" y="0"/>
                        <a:chExt cx="5735650" cy="590530"/>
                      </a:xfrm>
                    </wpg:grpSpPr>
                    <wps:wsp>
                      <wps:cNvPr id="11419" name="Rectangle 11419"/>
                      <wps:cNvSpPr/>
                      <wps:spPr>
                        <a:xfrm>
                          <a:off x="70104" y="158143"/>
                          <a:ext cx="1043108" cy="131891"/>
                        </a:xfrm>
                        <a:prstGeom prst="rect">
                          <a:avLst/>
                        </a:prstGeom>
                        <a:ln>
                          <a:noFill/>
                        </a:ln>
                      </wps:spPr>
                      <wps:txbx>
                        <w:txbxContent>
                          <w:p w14:paraId="64B3138D" w14:textId="77777777" w:rsidR="009A3CB0" w:rsidRPr="00BE0D10" w:rsidRDefault="009A3CB0" w:rsidP="009A3CB0">
                            <w:pPr>
                              <w:rPr>
                                <w:color w:val="2E74B5" w:themeColor="accent1" w:themeShade="BF"/>
                                <w:lang w:val="en-GB"/>
                              </w:rPr>
                            </w:pPr>
                            <w:r w:rsidRPr="002A3189">
                              <w:rPr>
                                <w:color w:val="2E74B5" w:themeColor="accent1" w:themeShade="BF"/>
                                <w:sz w:val="16"/>
                              </w:rPr>
                              <w:t>Διαδικασία</w:t>
                            </w:r>
                            <w:r>
                              <w:rPr>
                                <w:color w:val="2E74B5" w:themeColor="accent1" w:themeShade="BF"/>
                                <w:sz w:val="16"/>
                              </w:rPr>
                              <w:t xml:space="preserve"> Δ</w:t>
                            </w:r>
                            <w:r>
                              <w:rPr>
                                <w:color w:val="2E74B5" w:themeColor="accent1" w:themeShade="BF"/>
                                <w:sz w:val="16"/>
                                <w:lang w:val="en-GB"/>
                              </w:rPr>
                              <w:t>10</w:t>
                            </w:r>
                          </w:p>
                        </w:txbxContent>
                      </wps:txbx>
                      <wps:bodyPr horzOverflow="overflow" vert="horz" lIns="0" tIns="0" rIns="0" bIns="0" rtlCol="0">
                        <a:noAutofit/>
                      </wps:bodyPr>
                    </wps:wsp>
                    <wps:wsp>
                      <wps:cNvPr id="11420" name="Rectangle 11420"/>
                      <wps:cNvSpPr/>
                      <wps:spPr>
                        <a:xfrm>
                          <a:off x="853389" y="158143"/>
                          <a:ext cx="42507" cy="131891"/>
                        </a:xfrm>
                        <a:prstGeom prst="rect">
                          <a:avLst/>
                        </a:prstGeom>
                        <a:ln>
                          <a:noFill/>
                        </a:ln>
                      </wps:spPr>
                      <wps:txbx>
                        <w:txbxContent>
                          <w:p w14:paraId="77862C3C" w14:textId="77777777" w:rsidR="009A3CB0" w:rsidRDefault="009A3CB0" w:rsidP="009A3CB0">
                            <w:r>
                              <w:rPr>
                                <w:sz w:val="16"/>
                              </w:rPr>
                              <w:t xml:space="preserve"> </w:t>
                            </w:r>
                          </w:p>
                        </w:txbxContent>
                      </wps:txbx>
                      <wps:bodyPr horzOverflow="overflow" vert="horz" lIns="0" tIns="0" rIns="0" bIns="0" rtlCol="0">
                        <a:noAutofit/>
                      </wps:bodyPr>
                    </wps:wsp>
                    <wps:wsp>
                      <wps:cNvPr id="11421" name="Rectangle 11421"/>
                      <wps:cNvSpPr/>
                      <wps:spPr>
                        <a:xfrm>
                          <a:off x="70104" y="280063"/>
                          <a:ext cx="506140" cy="131891"/>
                        </a:xfrm>
                        <a:prstGeom prst="rect">
                          <a:avLst/>
                        </a:prstGeom>
                        <a:ln>
                          <a:noFill/>
                        </a:ln>
                      </wps:spPr>
                      <wps:txbx>
                        <w:txbxContent>
                          <w:p w14:paraId="70DD6062" w14:textId="77777777" w:rsidR="009A3CB0" w:rsidRPr="002A3189" w:rsidRDefault="009A3CB0" w:rsidP="009A3CB0">
                            <w:pPr>
                              <w:rPr>
                                <w:color w:val="2E74B5" w:themeColor="accent1" w:themeShade="BF"/>
                              </w:rPr>
                            </w:pPr>
                            <w:r w:rsidRPr="002A3189">
                              <w:rPr>
                                <w:color w:val="2E74B5" w:themeColor="accent1" w:themeShade="BF"/>
                                <w:sz w:val="16"/>
                              </w:rPr>
                              <w:t>Έκδοση</w:t>
                            </w:r>
                          </w:p>
                        </w:txbxContent>
                      </wps:txbx>
                      <wps:bodyPr horzOverflow="overflow" vert="horz" lIns="0" tIns="0" rIns="0" bIns="0" rtlCol="0">
                        <a:noAutofit/>
                      </wps:bodyPr>
                    </wps:wsp>
                    <wps:wsp>
                      <wps:cNvPr id="11422" name="Rectangle 11422"/>
                      <wps:cNvSpPr/>
                      <wps:spPr>
                        <a:xfrm>
                          <a:off x="451052" y="285677"/>
                          <a:ext cx="310991" cy="116305"/>
                        </a:xfrm>
                        <a:prstGeom prst="rect">
                          <a:avLst/>
                        </a:prstGeom>
                        <a:ln>
                          <a:noFill/>
                        </a:ln>
                      </wps:spPr>
                      <wps:txbx>
                        <w:txbxContent>
                          <w:p w14:paraId="3A528CB6" w14:textId="01DF3453" w:rsidR="009A3CB0" w:rsidRPr="009A33CB" w:rsidRDefault="00130F8A" w:rsidP="009A3CB0">
                            <w:pPr>
                              <w:rPr>
                                <w:color w:val="2E74B5" w:themeColor="accent1" w:themeShade="BF"/>
                                <w:lang w:val="en-GB"/>
                              </w:rPr>
                            </w:pPr>
                            <w:r>
                              <w:rPr>
                                <w:color w:val="2E74B5" w:themeColor="accent1" w:themeShade="BF"/>
                                <w:sz w:val="16"/>
                              </w:rPr>
                              <w:t>1</w:t>
                            </w:r>
                            <w:r w:rsidR="009A3CB0">
                              <w:rPr>
                                <w:color w:val="2E74B5" w:themeColor="accent1" w:themeShade="BF"/>
                                <w:sz w:val="16"/>
                              </w:rPr>
                              <w:t>.</w:t>
                            </w:r>
                            <w:r w:rsidR="009A33CB">
                              <w:rPr>
                                <w:color w:val="2E74B5" w:themeColor="accent1" w:themeShade="BF"/>
                                <w:sz w:val="16"/>
                                <w:lang w:val="en-GB"/>
                              </w:rPr>
                              <w:t>2</w:t>
                            </w:r>
                          </w:p>
                        </w:txbxContent>
                      </wps:txbx>
                      <wps:bodyPr horzOverflow="overflow" vert="horz" lIns="0" tIns="0" rIns="0" bIns="0" rtlCol="0">
                        <a:noAutofit/>
                      </wps:bodyPr>
                    </wps:wsp>
                    <wps:wsp>
                      <wps:cNvPr id="11424" name="Rectangle 11424"/>
                      <wps:cNvSpPr/>
                      <wps:spPr>
                        <a:xfrm>
                          <a:off x="636981" y="280063"/>
                          <a:ext cx="42507" cy="131891"/>
                        </a:xfrm>
                        <a:prstGeom prst="rect">
                          <a:avLst/>
                        </a:prstGeom>
                        <a:ln>
                          <a:noFill/>
                        </a:ln>
                      </wps:spPr>
                      <wps:txbx>
                        <w:txbxContent>
                          <w:p w14:paraId="19B3A3E8" w14:textId="77777777" w:rsidR="009A3CB0" w:rsidRDefault="009A3CB0" w:rsidP="009A3CB0">
                            <w:r>
                              <w:rPr>
                                <w:sz w:val="16"/>
                              </w:rPr>
                              <w:t xml:space="preserve"> </w:t>
                            </w:r>
                          </w:p>
                        </w:txbxContent>
                      </wps:txbx>
                      <wps:bodyPr horzOverflow="overflow" vert="horz" lIns="0" tIns="0" rIns="0" bIns="0" rtlCol="0">
                        <a:noAutofit/>
                      </wps:bodyPr>
                    </wps:wsp>
                    <wps:wsp>
                      <wps:cNvPr id="11426" name="Rectangle 11426"/>
                      <wps:cNvSpPr/>
                      <wps:spPr>
                        <a:xfrm>
                          <a:off x="684225" y="401982"/>
                          <a:ext cx="42507" cy="131892"/>
                        </a:xfrm>
                        <a:prstGeom prst="rect">
                          <a:avLst/>
                        </a:prstGeom>
                        <a:ln>
                          <a:noFill/>
                        </a:ln>
                      </wps:spPr>
                      <wps:txbx>
                        <w:txbxContent>
                          <w:p w14:paraId="75A16A09" w14:textId="77777777" w:rsidR="009A3CB0" w:rsidRDefault="009A3CB0" w:rsidP="009A3CB0">
                            <w:r>
                              <w:rPr>
                                <w:sz w:val="16"/>
                              </w:rPr>
                              <w:t xml:space="preserve"> </w:t>
                            </w:r>
                          </w:p>
                        </w:txbxContent>
                      </wps:txbx>
                      <wps:bodyPr horzOverflow="overflow" vert="horz" lIns="0" tIns="0" rIns="0" bIns="0" rtlCol="0">
                        <a:noAutofit/>
                      </wps:bodyPr>
                    </wps:wsp>
                    <wps:wsp>
                      <wps:cNvPr id="11434" name="Rectangle 11434"/>
                      <wps:cNvSpPr/>
                      <wps:spPr>
                        <a:xfrm>
                          <a:off x="2956890" y="260251"/>
                          <a:ext cx="49297" cy="131891"/>
                        </a:xfrm>
                        <a:prstGeom prst="rect">
                          <a:avLst/>
                        </a:prstGeom>
                        <a:ln>
                          <a:noFill/>
                        </a:ln>
                      </wps:spPr>
                      <wps:txbx>
                        <w:txbxContent>
                          <w:p w14:paraId="2DB1C0E5" w14:textId="77777777" w:rsidR="009A3CB0" w:rsidRDefault="009A3CB0" w:rsidP="009A3CB0">
                            <w:r>
                              <w:rPr>
                                <w:sz w:val="16"/>
                              </w:rPr>
                              <w:t>-</w:t>
                            </w:r>
                          </w:p>
                        </w:txbxContent>
                      </wps:txbx>
                      <wps:bodyPr horzOverflow="overflow" vert="horz" lIns="0" tIns="0" rIns="0" bIns="0" rtlCol="0">
                        <a:noAutofit/>
                      </wps:bodyPr>
                    </wps:wsp>
                    <wps:wsp>
                      <wps:cNvPr id="11435" name="Rectangle 11435"/>
                      <wps:cNvSpPr/>
                      <wps:spPr>
                        <a:xfrm>
                          <a:off x="2993466" y="260251"/>
                          <a:ext cx="42506" cy="131891"/>
                        </a:xfrm>
                        <a:prstGeom prst="rect">
                          <a:avLst/>
                        </a:prstGeom>
                        <a:ln>
                          <a:noFill/>
                        </a:ln>
                      </wps:spPr>
                      <wps:txbx>
                        <w:txbxContent>
                          <w:p w14:paraId="54F6D9B1" w14:textId="77777777" w:rsidR="009A3CB0" w:rsidRDefault="009A3CB0" w:rsidP="009A3CB0">
                            <w:r>
                              <w:rPr>
                                <w:sz w:val="16"/>
                              </w:rPr>
                              <w:t xml:space="preserve"> </w:t>
                            </w:r>
                          </w:p>
                        </w:txbxContent>
                      </wps:txbx>
                      <wps:bodyPr horzOverflow="overflow" vert="horz" lIns="0" tIns="0" rIns="0" bIns="0" rtlCol="0">
                        <a:noAutofit/>
                      </wps:bodyPr>
                    </wps:wsp>
                    <wps:wsp>
                      <wps:cNvPr id="11436" name="Rectangle 11436"/>
                      <wps:cNvSpPr/>
                      <wps:spPr>
                        <a:xfrm>
                          <a:off x="3025470" y="260251"/>
                          <a:ext cx="74149" cy="131891"/>
                        </a:xfrm>
                        <a:prstGeom prst="rect">
                          <a:avLst/>
                        </a:prstGeom>
                        <a:ln>
                          <a:noFill/>
                        </a:ln>
                      </wps:spPr>
                      <wps:txbx>
                        <w:txbxContent>
                          <w:p w14:paraId="2DB38016" w14:textId="77777777" w:rsidR="009A3CB0" w:rsidRDefault="009A3CB0" w:rsidP="009A3CB0">
                            <w:r>
                              <w:rPr>
                                <w:sz w:val="20"/>
                              </w:rPr>
                              <w:fldChar w:fldCharType="begin"/>
                            </w:r>
                            <w:r>
                              <w:instrText xml:space="preserve"> PAGE   \* MERGEFORMAT </w:instrText>
                            </w:r>
                            <w:r>
                              <w:rPr>
                                <w:sz w:val="20"/>
                              </w:rPr>
                              <w:fldChar w:fldCharType="separate"/>
                            </w:r>
                            <w:r w:rsidR="009336AC" w:rsidRPr="009336AC">
                              <w:rPr>
                                <w:noProof/>
                                <w:sz w:val="16"/>
                              </w:rPr>
                              <w:t>5</w:t>
                            </w:r>
                            <w:r>
                              <w:rPr>
                                <w:sz w:val="16"/>
                              </w:rPr>
                              <w:fldChar w:fldCharType="end"/>
                            </w:r>
                          </w:p>
                        </w:txbxContent>
                      </wps:txbx>
                      <wps:bodyPr horzOverflow="overflow" vert="horz" lIns="0" tIns="0" rIns="0" bIns="0" rtlCol="0">
                        <a:noAutofit/>
                      </wps:bodyPr>
                    </wps:wsp>
                    <wps:wsp>
                      <wps:cNvPr id="11437" name="Rectangle 11437"/>
                      <wps:cNvSpPr/>
                      <wps:spPr>
                        <a:xfrm>
                          <a:off x="3081859" y="260251"/>
                          <a:ext cx="42506" cy="131891"/>
                        </a:xfrm>
                        <a:prstGeom prst="rect">
                          <a:avLst/>
                        </a:prstGeom>
                        <a:ln>
                          <a:noFill/>
                        </a:ln>
                      </wps:spPr>
                      <wps:txbx>
                        <w:txbxContent>
                          <w:p w14:paraId="391DBA69" w14:textId="77777777" w:rsidR="009A3CB0" w:rsidRDefault="009A3CB0" w:rsidP="009A3CB0">
                            <w:r>
                              <w:rPr>
                                <w:sz w:val="16"/>
                              </w:rPr>
                              <w:t xml:space="preserve"> </w:t>
                            </w:r>
                          </w:p>
                        </w:txbxContent>
                      </wps:txbx>
                      <wps:bodyPr horzOverflow="overflow" vert="horz" lIns="0" tIns="0" rIns="0" bIns="0" rtlCol="0">
                        <a:noAutofit/>
                      </wps:bodyPr>
                    </wps:wsp>
                    <wps:wsp>
                      <wps:cNvPr id="11438" name="Rectangle 11438"/>
                      <wps:cNvSpPr/>
                      <wps:spPr>
                        <a:xfrm>
                          <a:off x="3113862" y="260251"/>
                          <a:ext cx="49297" cy="131891"/>
                        </a:xfrm>
                        <a:prstGeom prst="rect">
                          <a:avLst/>
                        </a:prstGeom>
                        <a:ln>
                          <a:noFill/>
                        </a:ln>
                      </wps:spPr>
                      <wps:txbx>
                        <w:txbxContent>
                          <w:p w14:paraId="42676B36" w14:textId="77777777" w:rsidR="009A3CB0" w:rsidRDefault="009A3CB0" w:rsidP="009A3CB0">
                            <w:r>
                              <w:rPr>
                                <w:sz w:val="16"/>
                              </w:rPr>
                              <w:t>-</w:t>
                            </w:r>
                          </w:p>
                        </w:txbxContent>
                      </wps:txbx>
                      <wps:bodyPr horzOverflow="overflow" vert="horz" lIns="0" tIns="0" rIns="0" bIns="0" rtlCol="0">
                        <a:noAutofit/>
                      </wps:bodyPr>
                    </wps:wsp>
                    <wps:wsp>
                      <wps:cNvPr id="11439" name="Rectangle 11439"/>
                      <wps:cNvSpPr/>
                      <wps:spPr>
                        <a:xfrm>
                          <a:off x="3150438" y="260251"/>
                          <a:ext cx="42506" cy="131891"/>
                        </a:xfrm>
                        <a:prstGeom prst="rect">
                          <a:avLst/>
                        </a:prstGeom>
                        <a:ln>
                          <a:noFill/>
                        </a:ln>
                      </wps:spPr>
                      <wps:txbx>
                        <w:txbxContent>
                          <w:p w14:paraId="60614249" w14:textId="77777777" w:rsidR="009A3CB0" w:rsidRDefault="009A3CB0" w:rsidP="009A3CB0">
                            <w:r>
                              <w:rPr>
                                <w:sz w:val="16"/>
                              </w:rPr>
                              <w:t xml:space="preserve"> </w:t>
                            </w:r>
                          </w:p>
                        </w:txbxContent>
                      </wps:txbx>
                      <wps:bodyPr horzOverflow="overflow" vert="horz" lIns="0" tIns="0" rIns="0" bIns="0" rtlCol="0">
                        <a:noAutofit/>
                      </wps:bodyPr>
                    </wps:wsp>
                    <wps:wsp>
                      <wps:cNvPr id="11440" name="Rectangle 11440"/>
                      <wps:cNvSpPr/>
                      <wps:spPr>
                        <a:xfrm>
                          <a:off x="5668722" y="409425"/>
                          <a:ext cx="58367" cy="181105"/>
                        </a:xfrm>
                        <a:prstGeom prst="rect">
                          <a:avLst/>
                        </a:prstGeom>
                        <a:ln>
                          <a:noFill/>
                        </a:ln>
                      </wps:spPr>
                      <wps:txbx>
                        <w:txbxContent>
                          <w:p w14:paraId="3552D241" w14:textId="77777777" w:rsidR="009A3CB0" w:rsidRDefault="009A3CB0" w:rsidP="009A3CB0">
                            <w:r>
                              <w:t xml:space="preserve"> </w:t>
                            </w:r>
                          </w:p>
                        </w:txbxContent>
                      </wps:txbx>
                      <wps:bodyPr horzOverflow="overflow" vert="horz" lIns="0" tIns="0" rIns="0" bIns="0" rtlCol="0">
                        <a:noAutofit/>
                      </wps:bodyPr>
                    </wps:wsp>
                    <wps:wsp>
                      <wps:cNvPr id="11641" name="Shape 11641"/>
                      <wps:cNvSpPr/>
                      <wps:spPr>
                        <a:xfrm>
                          <a:off x="0" y="0"/>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s:wsp>
                      <wps:cNvPr id="11642" name="Shape 11642"/>
                      <wps:cNvSpPr/>
                      <wps:spPr>
                        <a:xfrm>
                          <a:off x="21491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3" name="Shape 11643"/>
                      <wps:cNvSpPr/>
                      <wps:spPr>
                        <a:xfrm>
                          <a:off x="2155266" y="0"/>
                          <a:ext cx="1804670" cy="9144"/>
                        </a:xfrm>
                        <a:custGeom>
                          <a:avLst/>
                          <a:gdLst/>
                          <a:ahLst/>
                          <a:cxnLst/>
                          <a:rect l="0" t="0" r="0" b="0"/>
                          <a:pathLst>
                            <a:path w="1804670" h="9144">
                              <a:moveTo>
                                <a:pt x="0" y="0"/>
                              </a:moveTo>
                              <a:lnTo>
                                <a:pt x="1804670" y="0"/>
                              </a:lnTo>
                              <a:lnTo>
                                <a:pt x="1804670"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s:wsp>
                      <wps:cNvPr id="11644" name="Shape 11644"/>
                      <wps:cNvSpPr/>
                      <wps:spPr>
                        <a:xfrm>
                          <a:off x="3959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5" name="Shape 11645"/>
                      <wps:cNvSpPr/>
                      <wps:spPr>
                        <a:xfrm>
                          <a:off x="3966032"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082CEF60" id="Group 11412" o:spid="_x0000_s1026" style="position:absolute;margin-left:72.75pt;margin-top:774pt;width:451.6pt;height:46.45pt;z-index:251659264;mso-position-horizontal-relative:page;mso-position-vertical-relative:page;mso-height-relative:margin" coordsize="5735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">
              <v:rect id="Rectangle 11419" o:spid="_x0000_s1027" style="position:absolute;left:701;top:1581;width:1043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" filled="f" stroked="f">
                <v:textbox inset="0,0,0,0">
                  <w:txbxContent>
                    <w:p w14:paraId="64B3138D" w14:textId="77777777" w:rsidR="009A3CB0" w:rsidRPr="00BE0D10" w:rsidRDefault="009A3CB0" w:rsidP="009A3CB0">
                      <w:pPr>
                        <w:rPr>
                          <w:color w:val="2E74B5" w:themeColor="accent1" w:themeShade="BF"/>
                          <w:lang w:val="en-GB"/>
                        </w:rPr>
                      </w:pPr>
                      <w:r w:rsidRPr="002A3189">
                        <w:rPr>
                          <w:color w:val="2E74B5" w:themeColor="accent1" w:themeShade="BF"/>
                          <w:sz w:val="16"/>
                        </w:rPr>
                        <w:t>Διαδικασία</w:t>
                      </w:r>
                      <w:r>
                        <w:rPr>
                          <w:color w:val="2E74B5" w:themeColor="accent1" w:themeShade="BF"/>
                          <w:sz w:val="16"/>
                        </w:rPr>
                        <w:t xml:space="preserve"> Δ</w:t>
                      </w:r>
                      <w:r>
                        <w:rPr>
                          <w:color w:val="2E74B5" w:themeColor="accent1" w:themeShade="BF"/>
                          <w:sz w:val="16"/>
                          <w:lang w:val="en-GB"/>
                        </w:rPr>
                        <w:t>10</w:t>
                      </w:r>
                    </w:p>
                  </w:txbxContent>
                </v:textbox>
              </v:rect>
              <v:rect id="Rectangle 11420" o:spid="_x0000_s1028" style="position:absolute;left:8533;top:1581;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" filled="f" stroked="f">
                <v:textbox inset="0,0,0,0">
                  <w:txbxContent>
                    <w:p w14:paraId="77862C3C" w14:textId="77777777" w:rsidR="009A3CB0" w:rsidRDefault="009A3CB0" w:rsidP="009A3CB0">
                      <w:r>
                        <w:rPr>
                          <w:sz w:val="16"/>
                        </w:rPr>
                        <w:t xml:space="preserve"> </w:t>
                      </w:r>
                    </w:p>
                  </w:txbxContent>
                </v:textbox>
              </v:rect>
              <v:rect id="Rectangle 11421" o:spid="_x0000_s1029" style="position:absolute;left:701;top:2800;width:506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" filled="f" stroked="f">
                <v:textbox inset="0,0,0,0">
                  <w:txbxContent>
                    <w:p w14:paraId="70DD6062" w14:textId="77777777" w:rsidR="009A3CB0" w:rsidRPr="002A3189" w:rsidRDefault="009A3CB0" w:rsidP="009A3CB0">
                      <w:pPr>
                        <w:rPr>
                          <w:color w:val="2E74B5" w:themeColor="accent1" w:themeShade="BF"/>
                        </w:rPr>
                      </w:pPr>
                      <w:r w:rsidRPr="002A3189">
                        <w:rPr>
                          <w:color w:val="2E74B5" w:themeColor="accent1" w:themeShade="BF"/>
                          <w:sz w:val="16"/>
                        </w:rPr>
                        <w:t>Έκδοση</w:t>
                      </w:r>
                    </w:p>
                  </w:txbxContent>
                </v:textbox>
              </v:rect>
              <v:rect id="Rectangle 11422" o:spid="_x0000_s1030" style="position:absolute;left:4510;top:2856;width:3110;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gBxQAAAN4AAAAPAAAAZHJzL2Rvd25yZXYueG1sRE9Na8JA&#10;EL0X/A/LCL3VjaEU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BzVogBxQAAAN4AAAAP&#10;AAAAAAAAAAAAAAAAAAcCAABkcnMvZG93bnJldi54bWxQSwUGAAAAAAMAAwC3AAAA+QIAAAAA&#10;" filled="f" stroked="f">
                <v:textbox inset="0,0,0,0">
                  <w:txbxContent>
                    <w:p w14:paraId="3A528CB6" w14:textId="01DF3453" w:rsidR="009A3CB0" w:rsidRPr="009A33CB" w:rsidRDefault="00130F8A" w:rsidP="009A3CB0">
                      <w:pPr>
                        <w:rPr>
                          <w:color w:val="2E74B5" w:themeColor="accent1" w:themeShade="BF"/>
                          <w:lang w:val="en-GB"/>
                        </w:rPr>
                      </w:pPr>
                      <w:r>
                        <w:rPr>
                          <w:color w:val="2E74B5" w:themeColor="accent1" w:themeShade="BF"/>
                          <w:sz w:val="16"/>
                        </w:rPr>
                        <w:t>1</w:t>
                      </w:r>
                      <w:r w:rsidR="009A3CB0">
                        <w:rPr>
                          <w:color w:val="2E74B5" w:themeColor="accent1" w:themeShade="BF"/>
                          <w:sz w:val="16"/>
                        </w:rPr>
                        <w:t>.</w:t>
                      </w:r>
                      <w:r w:rsidR="009A33CB">
                        <w:rPr>
                          <w:color w:val="2E74B5" w:themeColor="accent1" w:themeShade="BF"/>
                          <w:sz w:val="16"/>
                          <w:lang w:val="en-GB"/>
                        </w:rPr>
                        <w:t>2</w:t>
                      </w:r>
                    </w:p>
                  </w:txbxContent>
                </v:textbox>
              </v:rect>
              <v:rect id="Rectangle 11424" o:spid="_x0000_s1031" style="position:absolute;left:6369;top:2800;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Xu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T87XuxQAAAN4AAAAP&#10;AAAAAAAAAAAAAAAAAAcCAABkcnMvZG93bnJldi54bWxQSwUGAAAAAAMAAwC3AAAA+QIAAAAA&#10;" filled="f" stroked="f">
                <v:textbox inset="0,0,0,0">
                  <w:txbxContent>
                    <w:p w14:paraId="19B3A3E8" w14:textId="77777777" w:rsidR="009A3CB0" w:rsidRDefault="009A3CB0" w:rsidP="009A3CB0">
                      <w:r>
                        <w:rPr>
                          <w:sz w:val="16"/>
                        </w:rPr>
                        <w:t xml:space="preserve"> </w:t>
                      </w:r>
                    </w:p>
                  </w:txbxContent>
                </v:textbox>
              </v:rect>
              <v:rect id="Rectangle 11426" o:spid="_x0000_s1032" style="position:absolute;left:6842;top:4019;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" filled="f" stroked="f">
                <v:textbox inset="0,0,0,0">
                  <w:txbxContent>
                    <w:p w14:paraId="75A16A09" w14:textId="77777777" w:rsidR="009A3CB0" w:rsidRDefault="009A3CB0" w:rsidP="009A3CB0">
                      <w:r>
                        <w:rPr>
                          <w:sz w:val="16"/>
                        </w:rPr>
                        <w:t xml:space="preserve"> </w:t>
                      </w:r>
                    </w:p>
                  </w:txbxContent>
                </v:textbox>
              </v:rect>
              <v:rect id="Rectangle 11434" o:spid="_x0000_s1033" style="position:absolute;left:2956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" filled="f" stroked="f">
                <v:textbox inset="0,0,0,0">
                  <w:txbxContent>
                    <w:p w14:paraId="2DB1C0E5" w14:textId="77777777" w:rsidR="009A3CB0" w:rsidRDefault="009A3CB0" w:rsidP="009A3CB0">
                      <w:r>
                        <w:rPr>
                          <w:sz w:val="16"/>
                        </w:rPr>
                        <w:t>-</w:t>
                      </w:r>
                    </w:p>
                  </w:txbxContent>
                </v:textbox>
              </v:rect>
              <v:rect id="Rectangle 11435" o:spid="_x0000_s1034" style="position:absolute;left:2993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" filled="f" stroked="f">
                <v:textbox inset="0,0,0,0">
                  <w:txbxContent>
                    <w:p w14:paraId="54F6D9B1" w14:textId="77777777" w:rsidR="009A3CB0" w:rsidRDefault="009A3CB0" w:rsidP="009A3CB0">
                      <w:r>
                        <w:rPr>
                          <w:sz w:val="16"/>
                        </w:rPr>
                        <w:t xml:space="preserve"> </w:t>
                      </w:r>
                    </w:p>
                  </w:txbxContent>
                </v:textbox>
              </v:rect>
              <v:rect id="Rectangle 11436" o:spid="_x0000_s1035" style="position:absolute;left:30254;top:2602;width:74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" filled="f" stroked="f">
                <v:textbox inset="0,0,0,0">
                  <w:txbxContent>
                    <w:p w14:paraId="2DB38016" w14:textId="77777777" w:rsidR="009A3CB0" w:rsidRDefault="009A3CB0" w:rsidP="009A3CB0">
                      <w:r>
                        <w:rPr>
                          <w:sz w:val="20"/>
                        </w:rPr>
                        <w:fldChar w:fldCharType="begin"/>
                      </w:r>
                      <w:r>
                        <w:instrText xml:space="preserve"> PAGE   \* MERGEFORMAT </w:instrText>
                      </w:r>
                      <w:r>
                        <w:rPr>
                          <w:sz w:val="20"/>
                        </w:rPr>
                        <w:fldChar w:fldCharType="separate"/>
                      </w:r>
                      <w:r w:rsidR="009336AC" w:rsidRPr="009336AC">
                        <w:rPr>
                          <w:noProof/>
                          <w:sz w:val="16"/>
                        </w:rPr>
                        <w:t>5</w:t>
                      </w:r>
                      <w:r>
                        <w:rPr>
                          <w:sz w:val="16"/>
                        </w:rPr>
                        <w:fldChar w:fldCharType="end"/>
                      </w:r>
                    </w:p>
                  </w:txbxContent>
                </v:textbox>
              </v:rect>
              <v:rect id="Rectangle 11437" o:spid="_x0000_s1036" style="position:absolute;left:30818;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" filled="f" stroked="f">
                <v:textbox inset="0,0,0,0">
                  <w:txbxContent>
                    <w:p w14:paraId="391DBA69" w14:textId="77777777" w:rsidR="009A3CB0" w:rsidRDefault="009A3CB0" w:rsidP="009A3CB0">
                      <w:r>
                        <w:rPr>
                          <w:sz w:val="16"/>
                        </w:rPr>
                        <w:t xml:space="preserve"> </w:t>
                      </w:r>
                    </w:p>
                  </w:txbxContent>
                </v:textbox>
              </v:rect>
              <v:rect id="Rectangle 11438" o:spid="_x0000_s1037" style="position:absolute;left:3113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" filled="f" stroked="f">
                <v:textbox inset="0,0,0,0">
                  <w:txbxContent>
                    <w:p w14:paraId="42676B36" w14:textId="77777777" w:rsidR="009A3CB0" w:rsidRDefault="009A3CB0" w:rsidP="009A3CB0">
                      <w:r>
                        <w:rPr>
                          <w:sz w:val="16"/>
                        </w:rPr>
                        <w:t>-</w:t>
                      </w:r>
                    </w:p>
                  </w:txbxContent>
                </v:textbox>
              </v:rect>
              <v:rect id="Rectangle 11439" o:spid="_x0000_s1038" style="position:absolute;left:3150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" filled="f" stroked="f">
                <v:textbox inset="0,0,0,0">
                  <w:txbxContent>
                    <w:p w14:paraId="60614249" w14:textId="77777777" w:rsidR="009A3CB0" w:rsidRDefault="009A3CB0" w:rsidP="009A3CB0">
                      <w:r>
                        <w:rPr>
                          <w:sz w:val="16"/>
                        </w:rPr>
                        <w:t xml:space="preserve"> </w:t>
                      </w:r>
                    </w:p>
                  </w:txbxContent>
                </v:textbox>
              </v:rect>
              <v:rect id="Rectangle 11440" o:spid="_x0000_s1039" style="position:absolute;left:56687;top:409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ZN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" filled="f" stroked="f">
                <v:textbox inset="0,0,0,0">
                  <w:txbxContent>
                    <w:p w14:paraId="3552D241" w14:textId="77777777" w:rsidR="009A3CB0" w:rsidRDefault="009A3CB0" w:rsidP="009A3CB0">
                      <w:r>
                        <w:t xml:space="preserve"> </w:t>
                      </w:r>
                    </w:p>
                  </w:txbxContent>
                </v:textbox>
              </v:rect>
              <v:shape id="Shape 11641" o:spid="_x0000_s1040" style="position:absolute;width:21490;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" path="m,l2149094,r,9144l,9144,,e" fillcolor="black" strokecolor="#2e74b5 [2404]" strokeweight="0">
                <v:stroke miterlimit="83231f" joinstyle="miter"/>
                <v:path arrowok="t" textboxrect="0,0,2149094,9144"/>
              </v:shape>
              <v:shape id="Shape 11642" o:spid="_x0000_s1041" style="position:absolute;left:21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" path="m,l9144,r,9144l,9144,,e" fillcolor="black" stroked="f" strokeweight="0">
                <v:stroke miterlimit="83231f" joinstyle="miter"/>
                <v:path arrowok="t" textboxrect="0,0,9144,9144"/>
              </v:shape>
              <v:shape id="Shape 11643" o:spid="_x0000_s1042" style="position:absolute;left:21552;width:18047;height:91;visibility:visible;mso-wrap-style:square;v-text-anchor:top" coordsize="1804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" path="m,l1804670,r,9144l,9144,,e" fillcolor="black" strokecolor="#2e74b5 [2404]" strokeweight="0">
                <v:stroke miterlimit="83231f" joinstyle="miter"/>
                <v:path arrowok="t" textboxrect="0,0,1804670,9144"/>
              </v:shape>
              <v:shape id="Shape 11644" o:spid="_x0000_s1043" style="position:absolute;left:395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" path="m,l9144,r,9144l,9144,,e" fillcolor="black" stroked="f" strokeweight="0">
                <v:stroke miterlimit="83231f" joinstyle="miter"/>
                <v:path arrowok="t" textboxrect="0,0,9144,9144"/>
              </v:shape>
              <v:shape id="Shape 11645" o:spid="_x0000_s1044" style="position:absolute;left:39660;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" path="m,l1769618,r,9144l,9144,,e" fillcolor="black" strokecolor="#2e74b5 [2404]" strokeweight="0">
                <v:stroke miterlimit="83231f" joinstyle="miter"/>
                <v:path arrowok="t" textboxrect="0,0,1769618,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8711" w14:textId="77777777" w:rsidR="006375B5" w:rsidRDefault="006375B5" w:rsidP="009A3CB0">
      <w:pPr>
        <w:spacing w:after="0" w:line="240" w:lineRule="auto"/>
      </w:pPr>
      <w:r>
        <w:separator/>
      </w:r>
    </w:p>
  </w:footnote>
  <w:footnote w:type="continuationSeparator" w:id="0">
    <w:p w14:paraId="2C11EA29" w14:textId="77777777" w:rsidR="006375B5" w:rsidRDefault="006375B5" w:rsidP="009A3CB0">
      <w:pPr>
        <w:spacing w:after="0" w:line="240" w:lineRule="auto"/>
      </w:pPr>
      <w:r>
        <w:continuationSeparator/>
      </w:r>
    </w:p>
  </w:footnote>
  <w:footnote w:id="1">
    <w:p w14:paraId="0DE98B65" w14:textId="3957CB3B" w:rsidR="00021AB4" w:rsidRDefault="00021AB4">
      <w:pPr>
        <w:pStyle w:val="a9"/>
      </w:pPr>
      <w:r>
        <w:rPr>
          <w:rStyle w:val="aa"/>
        </w:rPr>
        <w:footnoteRef/>
      </w:r>
      <w:r>
        <w:t xml:space="preserve"> </w:t>
      </w:r>
      <w:r w:rsidRPr="00021AB4">
        <w:t>https://eur-lex.europa.eu/legal-content/EL/TXT/PDF/?uri=CELEX:52021XC0409(01)&amp;from=EL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AE36" w14:textId="5FA2962B" w:rsidR="001876AB" w:rsidRPr="001876AB" w:rsidRDefault="001876AB" w:rsidP="001876AB">
    <w:pPr>
      <w:pBdr>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pBdr>
      <w:shd w:val="clear" w:color="auto" w:fill="2E74B5" w:themeFill="accent1" w:themeFillShade="BF"/>
      <w:spacing w:after="287"/>
      <w:jc w:val="center"/>
      <w:rPr>
        <w:rFonts w:cstheme="minorHAnsi"/>
        <w:b/>
        <w:bCs/>
        <w:color w:val="000000" w:themeColor="text1"/>
      </w:rPr>
    </w:pPr>
    <w:r>
      <w:rPr>
        <w:rFonts w:cstheme="minorHAnsi"/>
        <w:b/>
        <w:bCs/>
        <w:color w:val="FFFFFF" w:themeColor="background1"/>
      </w:rPr>
      <w:t>ΣΥΣΤΗΜΑ ΔΙΑΧΕΙΡΙΣΗΣ ΚΑΙ ΕΛΕΓΧΟΥ ΤΑΜΕΙΟΥ ΑΝΑΚΑΜΨΗΣ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EC8"/>
    <w:multiLevelType w:val="hybridMultilevel"/>
    <w:tmpl w:val="46FEE95A"/>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90A1A8E"/>
    <w:multiLevelType w:val="hybridMultilevel"/>
    <w:tmpl w:val="F52418C8"/>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16E0140"/>
    <w:multiLevelType w:val="hybridMultilevel"/>
    <w:tmpl w:val="3046417A"/>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529B551F"/>
    <w:multiLevelType w:val="hybridMultilevel"/>
    <w:tmpl w:val="A9BE5AAC"/>
    <w:lvl w:ilvl="0" w:tplc="F27878AE">
      <w:start w:val="1"/>
      <w:numFmt w:val="bullet"/>
      <w:lvlText w:val=""/>
      <w:lvlJc w:val="left"/>
      <w:pPr>
        <w:ind w:left="720" w:hanging="360"/>
      </w:pPr>
      <w:rPr>
        <w:rFonts w:ascii="Symbol" w:eastAsia="Arial" w:hAnsi="Symbo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66403"/>
    <w:multiLevelType w:val="hybridMultilevel"/>
    <w:tmpl w:val="FB1AC32A"/>
    <w:lvl w:ilvl="0" w:tplc="0809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C815E28"/>
    <w:multiLevelType w:val="hybridMultilevel"/>
    <w:tmpl w:val="CB0ABA1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10389F"/>
    <w:multiLevelType w:val="hybridMultilevel"/>
    <w:tmpl w:val="795C283A"/>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01830">
    <w:abstractNumId w:val="5"/>
  </w:num>
  <w:num w:numId="2" w16cid:durableId="2079203940">
    <w:abstractNumId w:val="3"/>
  </w:num>
  <w:num w:numId="3" w16cid:durableId="636301767">
    <w:abstractNumId w:val="4"/>
  </w:num>
  <w:num w:numId="4" w16cid:durableId="1050804741">
    <w:abstractNumId w:val="1"/>
  </w:num>
  <w:num w:numId="5" w16cid:durableId="2101178049">
    <w:abstractNumId w:val="2"/>
  </w:num>
  <w:num w:numId="6" w16cid:durableId="1567715250">
    <w:abstractNumId w:val="6"/>
  </w:num>
  <w:num w:numId="7" w16cid:durableId="123831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D"/>
    <w:rsid w:val="00002585"/>
    <w:rsid w:val="00003C58"/>
    <w:rsid w:val="00013990"/>
    <w:rsid w:val="00013D94"/>
    <w:rsid w:val="0002099D"/>
    <w:rsid w:val="00021AB4"/>
    <w:rsid w:val="00034D4D"/>
    <w:rsid w:val="000402A1"/>
    <w:rsid w:val="00050A04"/>
    <w:rsid w:val="00066B3D"/>
    <w:rsid w:val="0007205B"/>
    <w:rsid w:val="000763DE"/>
    <w:rsid w:val="000A2ED5"/>
    <w:rsid w:val="000B1B66"/>
    <w:rsid w:val="000B2E10"/>
    <w:rsid w:val="000B6553"/>
    <w:rsid w:val="000C38B9"/>
    <w:rsid w:val="000C4E07"/>
    <w:rsid w:val="000D084D"/>
    <w:rsid w:val="000E42D2"/>
    <w:rsid w:val="0010774A"/>
    <w:rsid w:val="00113AEC"/>
    <w:rsid w:val="001200CB"/>
    <w:rsid w:val="00122153"/>
    <w:rsid w:val="00123B9C"/>
    <w:rsid w:val="00130F8A"/>
    <w:rsid w:val="001330D3"/>
    <w:rsid w:val="00136436"/>
    <w:rsid w:val="00142730"/>
    <w:rsid w:val="00147F2D"/>
    <w:rsid w:val="001509AC"/>
    <w:rsid w:val="00150DA3"/>
    <w:rsid w:val="00151078"/>
    <w:rsid w:val="001616FB"/>
    <w:rsid w:val="001876AB"/>
    <w:rsid w:val="00192AEC"/>
    <w:rsid w:val="001C0B35"/>
    <w:rsid w:val="001C4FD9"/>
    <w:rsid w:val="001E4B97"/>
    <w:rsid w:val="001F207E"/>
    <w:rsid w:val="001F5497"/>
    <w:rsid w:val="00204C3D"/>
    <w:rsid w:val="00206E2E"/>
    <w:rsid w:val="00222480"/>
    <w:rsid w:val="00235872"/>
    <w:rsid w:val="00237425"/>
    <w:rsid w:val="0025474A"/>
    <w:rsid w:val="00271784"/>
    <w:rsid w:val="0028647E"/>
    <w:rsid w:val="00286801"/>
    <w:rsid w:val="002A22B8"/>
    <w:rsid w:val="002B012B"/>
    <w:rsid w:val="002B1D98"/>
    <w:rsid w:val="002B39E7"/>
    <w:rsid w:val="002D267F"/>
    <w:rsid w:val="002D7404"/>
    <w:rsid w:val="002E56E3"/>
    <w:rsid w:val="002F784F"/>
    <w:rsid w:val="00305527"/>
    <w:rsid w:val="00313917"/>
    <w:rsid w:val="003165FD"/>
    <w:rsid w:val="00331961"/>
    <w:rsid w:val="003525D7"/>
    <w:rsid w:val="00353A3E"/>
    <w:rsid w:val="00355C17"/>
    <w:rsid w:val="0036547D"/>
    <w:rsid w:val="003873AA"/>
    <w:rsid w:val="003A44F2"/>
    <w:rsid w:val="003A473F"/>
    <w:rsid w:val="003B0B69"/>
    <w:rsid w:val="003B1786"/>
    <w:rsid w:val="003C4440"/>
    <w:rsid w:val="003C4C4C"/>
    <w:rsid w:val="003C755F"/>
    <w:rsid w:val="003D3F7D"/>
    <w:rsid w:val="00402087"/>
    <w:rsid w:val="00425496"/>
    <w:rsid w:val="004378E7"/>
    <w:rsid w:val="00444232"/>
    <w:rsid w:val="00450D3E"/>
    <w:rsid w:val="0045409F"/>
    <w:rsid w:val="0045464A"/>
    <w:rsid w:val="0045576F"/>
    <w:rsid w:val="00473709"/>
    <w:rsid w:val="004758B2"/>
    <w:rsid w:val="004803CB"/>
    <w:rsid w:val="00480637"/>
    <w:rsid w:val="004B3496"/>
    <w:rsid w:val="004B5797"/>
    <w:rsid w:val="004C3D09"/>
    <w:rsid w:val="004C68BD"/>
    <w:rsid w:val="004C7325"/>
    <w:rsid w:val="004C7916"/>
    <w:rsid w:val="004D4569"/>
    <w:rsid w:val="004D6FDF"/>
    <w:rsid w:val="00517FED"/>
    <w:rsid w:val="0053138B"/>
    <w:rsid w:val="005375C9"/>
    <w:rsid w:val="00556259"/>
    <w:rsid w:val="00565782"/>
    <w:rsid w:val="005B7296"/>
    <w:rsid w:val="005B793E"/>
    <w:rsid w:val="005C06A5"/>
    <w:rsid w:val="005C23BC"/>
    <w:rsid w:val="005C7A59"/>
    <w:rsid w:val="005D0BF2"/>
    <w:rsid w:val="005D7FE3"/>
    <w:rsid w:val="005F68CA"/>
    <w:rsid w:val="006013BA"/>
    <w:rsid w:val="00601562"/>
    <w:rsid w:val="006056F4"/>
    <w:rsid w:val="00615B10"/>
    <w:rsid w:val="00623EFC"/>
    <w:rsid w:val="006375B5"/>
    <w:rsid w:val="00645D81"/>
    <w:rsid w:val="00655FC0"/>
    <w:rsid w:val="00667791"/>
    <w:rsid w:val="006735B5"/>
    <w:rsid w:val="00673BF3"/>
    <w:rsid w:val="00694B94"/>
    <w:rsid w:val="006A03D2"/>
    <w:rsid w:val="006A6660"/>
    <w:rsid w:val="006B2BBF"/>
    <w:rsid w:val="006B6791"/>
    <w:rsid w:val="006B6A5E"/>
    <w:rsid w:val="006D6230"/>
    <w:rsid w:val="006F1695"/>
    <w:rsid w:val="00710DE8"/>
    <w:rsid w:val="00714457"/>
    <w:rsid w:val="0073556A"/>
    <w:rsid w:val="007366C6"/>
    <w:rsid w:val="007416CA"/>
    <w:rsid w:val="007473B4"/>
    <w:rsid w:val="00755363"/>
    <w:rsid w:val="00757E0C"/>
    <w:rsid w:val="0076596D"/>
    <w:rsid w:val="00772937"/>
    <w:rsid w:val="00786380"/>
    <w:rsid w:val="00792955"/>
    <w:rsid w:val="007C4716"/>
    <w:rsid w:val="007C4E56"/>
    <w:rsid w:val="007D1F51"/>
    <w:rsid w:val="007D2278"/>
    <w:rsid w:val="007D50C8"/>
    <w:rsid w:val="00811C07"/>
    <w:rsid w:val="00816A34"/>
    <w:rsid w:val="0083117E"/>
    <w:rsid w:val="00837BD1"/>
    <w:rsid w:val="00873097"/>
    <w:rsid w:val="008738D2"/>
    <w:rsid w:val="00885D1F"/>
    <w:rsid w:val="00890F91"/>
    <w:rsid w:val="008B444A"/>
    <w:rsid w:val="008C4425"/>
    <w:rsid w:val="008E4C32"/>
    <w:rsid w:val="008E5310"/>
    <w:rsid w:val="009010F5"/>
    <w:rsid w:val="00913716"/>
    <w:rsid w:val="00920B75"/>
    <w:rsid w:val="00920BC9"/>
    <w:rsid w:val="009333C8"/>
    <w:rsid w:val="009336AC"/>
    <w:rsid w:val="00935501"/>
    <w:rsid w:val="009442F7"/>
    <w:rsid w:val="009547F5"/>
    <w:rsid w:val="00955B3C"/>
    <w:rsid w:val="009649EB"/>
    <w:rsid w:val="00973787"/>
    <w:rsid w:val="009A13E0"/>
    <w:rsid w:val="009A33CB"/>
    <w:rsid w:val="009A3CB0"/>
    <w:rsid w:val="009B3263"/>
    <w:rsid w:val="009B5A37"/>
    <w:rsid w:val="009C3D00"/>
    <w:rsid w:val="009D68F1"/>
    <w:rsid w:val="009E2F45"/>
    <w:rsid w:val="009E56E9"/>
    <w:rsid w:val="009F3BC0"/>
    <w:rsid w:val="009F5F3C"/>
    <w:rsid w:val="00A14F96"/>
    <w:rsid w:val="00A158CC"/>
    <w:rsid w:val="00A251EC"/>
    <w:rsid w:val="00A433C7"/>
    <w:rsid w:val="00A515ED"/>
    <w:rsid w:val="00A61580"/>
    <w:rsid w:val="00A64B34"/>
    <w:rsid w:val="00A67C41"/>
    <w:rsid w:val="00A85784"/>
    <w:rsid w:val="00A92F81"/>
    <w:rsid w:val="00AA2552"/>
    <w:rsid w:val="00AA26F3"/>
    <w:rsid w:val="00AB17B2"/>
    <w:rsid w:val="00AB7A9E"/>
    <w:rsid w:val="00AC0966"/>
    <w:rsid w:val="00AC262F"/>
    <w:rsid w:val="00AF42A8"/>
    <w:rsid w:val="00B32A8A"/>
    <w:rsid w:val="00B60C18"/>
    <w:rsid w:val="00B64600"/>
    <w:rsid w:val="00B70BE0"/>
    <w:rsid w:val="00B80227"/>
    <w:rsid w:val="00B832D4"/>
    <w:rsid w:val="00B93D04"/>
    <w:rsid w:val="00BA0AE5"/>
    <w:rsid w:val="00BA4866"/>
    <w:rsid w:val="00BB5B3A"/>
    <w:rsid w:val="00BD4243"/>
    <w:rsid w:val="00BE3849"/>
    <w:rsid w:val="00BE7BCD"/>
    <w:rsid w:val="00BF3D3B"/>
    <w:rsid w:val="00BF71B1"/>
    <w:rsid w:val="00C01F59"/>
    <w:rsid w:val="00C15862"/>
    <w:rsid w:val="00C23640"/>
    <w:rsid w:val="00C440CD"/>
    <w:rsid w:val="00C5513E"/>
    <w:rsid w:val="00C60D58"/>
    <w:rsid w:val="00CB0CEF"/>
    <w:rsid w:val="00CC2368"/>
    <w:rsid w:val="00CD783D"/>
    <w:rsid w:val="00CD7F22"/>
    <w:rsid w:val="00CE540C"/>
    <w:rsid w:val="00CF29D7"/>
    <w:rsid w:val="00D14BCD"/>
    <w:rsid w:val="00D32162"/>
    <w:rsid w:val="00D508C4"/>
    <w:rsid w:val="00D518BC"/>
    <w:rsid w:val="00D575FC"/>
    <w:rsid w:val="00D64141"/>
    <w:rsid w:val="00D65B21"/>
    <w:rsid w:val="00D90E41"/>
    <w:rsid w:val="00D9771D"/>
    <w:rsid w:val="00DB49E9"/>
    <w:rsid w:val="00DC1169"/>
    <w:rsid w:val="00DC1B25"/>
    <w:rsid w:val="00DC3C3F"/>
    <w:rsid w:val="00DC7821"/>
    <w:rsid w:val="00DC7FDB"/>
    <w:rsid w:val="00DD1F24"/>
    <w:rsid w:val="00DD249C"/>
    <w:rsid w:val="00DF3CB3"/>
    <w:rsid w:val="00E0230C"/>
    <w:rsid w:val="00E12B3F"/>
    <w:rsid w:val="00E219D2"/>
    <w:rsid w:val="00E31A83"/>
    <w:rsid w:val="00E70995"/>
    <w:rsid w:val="00EA151C"/>
    <w:rsid w:val="00EA450C"/>
    <w:rsid w:val="00EA5192"/>
    <w:rsid w:val="00EB1716"/>
    <w:rsid w:val="00EC1E97"/>
    <w:rsid w:val="00EC644C"/>
    <w:rsid w:val="00ED291F"/>
    <w:rsid w:val="00EE1C55"/>
    <w:rsid w:val="00EE21BE"/>
    <w:rsid w:val="00F10525"/>
    <w:rsid w:val="00F130A1"/>
    <w:rsid w:val="00F165D8"/>
    <w:rsid w:val="00F21875"/>
    <w:rsid w:val="00F30271"/>
    <w:rsid w:val="00F32115"/>
    <w:rsid w:val="00F449D8"/>
    <w:rsid w:val="00F450D3"/>
    <w:rsid w:val="00F55C3B"/>
    <w:rsid w:val="00F63BD6"/>
    <w:rsid w:val="00F66249"/>
    <w:rsid w:val="00F71748"/>
    <w:rsid w:val="00FA7BF4"/>
    <w:rsid w:val="00FB370F"/>
    <w:rsid w:val="00FC383D"/>
    <w:rsid w:val="00FD2378"/>
    <w:rsid w:val="00FD2ED4"/>
    <w:rsid w:val="00FE31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9677"/>
  <w15:chartTrackingRefBased/>
  <w15:docId w15:val="{A155029E-EB41-46FD-8937-787D08F2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Char"/>
    <w:uiPriority w:val="9"/>
    <w:qFormat/>
    <w:rsid w:val="00002585"/>
    <w:pPr>
      <w:keepNext/>
      <w:keepLines/>
      <w:spacing w:after="143"/>
      <w:ind w:left="33" w:hanging="10"/>
      <w:outlineLvl w:val="0"/>
    </w:pPr>
    <w:rPr>
      <w:rFonts w:eastAsia="Tahoma" w:cs="Tahoma"/>
      <w:b/>
      <w:color w:val="2E74B5" w:themeColor="accent1" w:themeShade="BF"/>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078"/>
    <w:pPr>
      <w:ind w:left="720"/>
      <w:contextualSpacing/>
    </w:pPr>
  </w:style>
  <w:style w:type="paragraph" w:styleId="a4">
    <w:name w:val="Balloon Text"/>
    <w:basedOn w:val="a"/>
    <w:link w:val="Char"/>
    <w:uiPriority w:val="99"/>
    <w:semiHidden/>
    <w:unhideWhenUsed/>
    <w:rsid w:val="005B7296"/>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B7296"/>
    <w:rPr>
      <w:rFonts w:ascii="Segoe UI" w:hAnsi="Segoe UI" w:cs="Segoe UI"/>
      <w:sz w:val="18"/>
      <w:szCs w:val="18"/>
    </w:rPr>
  </w:style>
  <w:style w:type="character" w:customStyle="1" w:styleId="1Char">
    <w:name w:val="Επικεφαλίδα 1 Char"/>
    <w:basedOn w:val="a0"/>
    <w:link w:val="1"/>
    <w:uiPriority w:val="9"/>
    <w:rsid w:val="00002585"/>
    <w:rPr>
      <w:rFonts w:eastAsia="Tahoma" w:cs="Tahoma"/>
      <w:b/>
      <w:color w:val="2E74B5" w:themeColor="accent1" w:themeShade="BF"/>
      <w:sz w:val="24"/>
      <w:lang w:eastAsia="el-GR"/>
    </w:rPr>
  </w:style>
  <w:style w:type="paragraph" w:styleId="a5">
    <w:name w:val="header"/>
    <w:basedOn w:val="a"/>
    <w:link w:val="Char0"/>
    <w:uiPriority w:val="99"/>
    <w:unhideWhenUsed/>
    <w:rsid w:val="009A3CB0"/>
    <w:pPr>
      <w:tabs>
        <w:tab w:val="center" w:pos="4153"/>
        <w:tab w:val="right" w:pos="8306"/>
      </w:tabs>
      <w:spacing w:after="0" w:line="240" w:lineRule="auto"/>
    </w:pPr>
  </w:style>
  <w:style w:type="character" w:customStyle="1" w:styleId="Char0">
    <w:name w:val="Κεφαλίδα Char"/>
    <w:basedOn w:val="a0"/>
    <w:link w:val="a5"/>
    <w:uiPriority w:val="99"/>
    <w:rsid w:val="009A3CB0"/>
  </w:style>
  <w:style w:type="paragraph" w:styleId="a6">
    <w:name w:val="footer"/>
    <w:basedOn w:val="a"/>
    <w:link w:val="Char1"/>
    <w:uiPriority w:val="99"/>
    <w:unhideWhenUsed/>
    <w:rsid w:val="009A3CB0"/>
    <w:pPr>
      <w:tabs>
        <w:tab w:val="center" w:pos="4153"/>
        <w:tab w:val="right" w:pos="8306"/>
      </w:tabs>
      <w:spacing w:after="0" w:line="240" w:lineRule="auto"/>
    </w:pPr>
  </w:style>
  <w:style w:type="character" w:customStyle="1" w:styleId="Char1">
    <w:name w:val="Υποσέλιδο Char"/>
    <w:basedOn w:val="a0"/>
    <w:link w:val="a6"/>
    <w:uiPriority w:val="99"/>
    <w:rsid w:val="009A3CB0"/>
  </w:style>
  <w:style w:type="table" w:styleId="a7">
    <w:name w:val="Table Grid"/>
    <w:basedOn w:val="a1"/>
    <w:uiPriority w:val="39"/>
    <w:rsid w:val="00CF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61580"/>
    <w:pPr>
      <w:spacing w:after="0" w:line="240" w:lineRule="auto"/>
    </w:pPr>
  </w:style>
  <w:style w:type="paragraph" w:styleId="a9">
    <w:name w:val="footnote text"/>
    <w:aliases w:val="Note de bas de page Car1,Note de bas de page Car Car,Note de bas de page Car1 Car Car,Note de bas de page Car Car Car Car,Note de bas de page Car2 Car Car Car Car,Note de bas de page Car1 Car Car Car Car1 Car,Footnote Car Car Car Ca"/>
    <w:basedOn w:val="a"/>
    <w:link w:val="Char2"/>
    <w:rsid w:val="00F55C3B"/>
    <w:pPr>
      <w:spacing w:after="0" w:line="240" w:lineRule="auto"/>
    </w:pPr>
    <w:rPr>
      <w:rFonts w:ascii="Times New Roman" w:eastAsia="Times New Roman" w:hAnsi="Times New Roman" w:cs="Times New Roman"/>
      <w:sz w:val="20"/>
      <w:szCs w:val="20"/>
      <w:lang w:eastAsia="el-GR"/>
    </w:rPr>
  </w:style>
  <w:style w:type="character" w:customStyle="1" w:styleId="Char2">
    <w:name w:val="Κείμενο υποσημείωσης Char"/>
    <w:aliases w:val="Note de bas de page Car1 Char,Note de bas de page Car Car Char,Note de bas de page Car1 Car Car Char,Note de bas de page Car Car Car Car Char,Note de bas de page Car2 Car Car Car Car Char,Footnote Car Car Car Ca Char"/>
    <w:basedOn w:val="a0"/>
    <w:link w:val="a9"/>
    <w:rsid w:val="00F55C3B"/>
    <w:rPr>
      <w:rFonts w:ascii="Times New Roman" w:eastAsia="Times New Roman" w:hAnsi="Times New Roman" w:cs="Times New Roman"/>
      <w:sz w:val="20"/>
      <w:szCs w:val="20"/>
      <w:lang w:eastAsia="el-GR"/>
    </w:rPr>
  </w:style>
  <w:style w:type="character" w:styleId="aa">
    <w:name w:val="footnote reference"/>
    <w:aliases w:val="Footnote,Footnote number,Footnote symbol,Footnote Reference Number,Footnote reference number,Times 10 Point,Exposant 3 Point,Footnote Reference Superscript,EN Footnote Reference,note TESI,Voetnootverwijzing,fr,o,FR,FR1"/>
    <w:uiPriority w:val="99"/>
    <w:rsid w:val="00F55C3B"/>
    <w:rPr>
      <w:vertAlign w:val="superscript"/>
    </w:rPr>
  </w:style>
  <w:style w:type="paragraph" w:styleId="ab">
    <w:name w:val="Title"/>
    <w:basedOn w:val="a"/>
    <w:next w:val="a"/>
    <w:link w:val="Char3"/>
    <w:uiPriority w:val="99"/>
    <w:qFormat/>
    <w:rsid w:val="000E42D2"/>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3">
    <w:name w:val="Τίτλος Char"/>
    <w:basedOn w:val="a0"/>
    <w:link w:val="ab"/>
    <w:uiPriority w:val="99"/>
    <w:rsid w:val="000E42D2"/>
    <w:rPr>
      <w:rFonts w:ascii="Cambria" w:eastAsia="Times New Roman" w:hAnsi="Cambria" w:cs="Times New Roman"/>
      <w:b/>
      <w:bCs/>
      <w:kern w:val="28"/>
      <w:sz w:val="32"/>
      <w:szCs w:val="32"/>
      <w:lang w:eastAsia="el-GR"/>
    </w:rPr>
  </w:style>
  <w:style w:type="paragraph" w:customStyle="1" w:styleId="xmsonormal">
    <w:name w:val="x_msonormal"/>
    <w:basedOn w:val="a"/>
    <w:rsid w:val="004737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c">
    <w:name w:val="Strong"/>
    <w:basedOn w:val="a0"/>
    <w:uiPriority w:val="22"/>
    <w:qFormat/>
    <w:rsid w:val="00AB1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5FC49BE89C6E4A826D83F157C169C4" ma:contentTypeVersion="16" ma:contentTypeDescription="Create a new document." ma:contentTypeScope="" ma:versionID="61318a64200c46f641a25713499f648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d78cb4504795cf92dbbbcac151fb94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Props1.xml><?xml version="1.0" encoding="utf-8"?>
<ds:datastoreItem xmlns:ds="http://schemas.openxmlformats.org/officeDocument/2006/customXml" ds:itemID="{2CB5C303-D194-47CF-92E6-7C447F32322F}">
  <ds:schemaRefs>
    <ds:schemaRef ds:uri="http://schemas.openxmlformats.org/officeDocument/2006/bibliography"/>
  </ds:schemaRefs>
</ds:datastoreItem>
</file>

<file path=customXml/itemProps2.xml><?xml version="1.0" encoding="utf-8"?>
<ds:datastoreItem xmlns:ds="http://schemas.openxmlformats.org/officeDocument/2006/customXml" ds:itemID="{A6D4761A-6238-4F9F-9389-D47E2C104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AEF31-9F05-4D13-83F6-09D812DF7BC0}">
  <ds:schemaRefs>
    <ds:schemaRef ds:uri="http://schemas.microsoft.com/sharepoint/v3/contenttype/forms"/>
  </ds:schemaRefs>
</ds:datastoreItem>
</file>

<file path=customXml/itemProps4.xml><?xml version="1.0" encoding="utf-8"?>
<ds:datastoreItem xmlns:ds="http://schemas.openxmlformats.org/officeDocument/2006/customXml" ds:itemID="{2233DE29-F53F-4BB3-83CF-854DFD7B8E44}">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3007</Words>
  <Characters>16242</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Δημήτριος Πλουμιστός</cp:lastModifiedBy>
  <cp:revision>13</cp:revision>
  <cp:lastPrinted>2022-09-23T08:39:00Z</cp:lastPrinted>
  <dcterms:created xsi:type="dcterms:W3CDTF">2022-09-20T12:31:00Z</dcterms:created>
  <dcterms:modified xsi:type="dcterms:W3CDTF">2022-09-26T08:04:00Z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