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Pr="00A1358E" w:rsidRDefault="002B2CCD" w:rsidP="002B2CCD">
      <w:pPr>
        <w:spacing w:after="0"/>
        <w:ind w:right="776"/>
        <w:jc w:val="center"/>
        <w:rPr>
          <w:rFonts w:eastAsia="Georgia" w:cstheme="minorHAnsi"/>
          <w:b/>
          <w:color w:val="2F5496" w:themeColor="accent1" w:themeShade="BF"/>
          <w:kern w:val="0"/>
          <w:sz w:val="44"/>
          <w:szCs w:val="44"/>
          <w:lang w:eastAsia="el-GR"/>
        </w:rPr>
      </w:pPr>
      <w:r w:rsidRPr="002B2CCD">
        <w:rPr>
          <w:rFonts w:eastAsia="Georgia" w:cstheme="minorHAnsi"/>
          <w:b/>
          <w:color w:val="2F5496" w:themeColor="accent1" w:themeShade="BF"/>
          <w:kern w:val="0"/>
          <w:sz w:val="44"/>
          <w:szCs w:val="44"/>
          <w:lang w:eastAsia="el-GR"/>
        </w:rPr>
        <w:t xml:space="preserve">ΟΔΗΓΙΕΣ </w:t>
      </w:r>
      <w:r w:rsidR="00AB5C67">
        <w:rPr>
          <w:rFonts w:eastAsia="Georgia" w:cstheme="minorHAnsi"/>
          <w:b/>
          <w:color w:val="2F5496" w:themeColor="accent1" w:themeShade="BF"/>
          <w:kern w:val="0"/>
          <w:sz w:val="44"/>
          <w:szCs w:val="44"/>
          <w:lang w:eastAsia="el-GR"/>
        </w:rPr>
        <w:t xml:space="preserve">ΕΓΚΡΙΣΗΣ ΚΑΙ </w:t>
      </w:r>
      <w:r w:rsidR="00BA2D87">
        <w:rPr>
          <w:rFonts w:eastAsia="Georgia" w:cstheme="minorHAnsi"/>
          <w:b/>
          <w:color w:val="2F5496" w:themeColor="accent1" w:themeShade="BF"/>
          <w:kern w:val="0"/>
          <w:sz w:val="44"/>
          <w:szCs w:val="44"/>
          <w:lang w:eastAsia="el-GR"/>
        </w:rPr>
        <w:t xml:space="preserve">ΠΑΡΑΚΟΛΟΥΘΗΣΗΣ </w:t>
      </w:r>
    </w:p>
    <w:p w:rsidR="002B2CCD" w:rsidRPr="00CA406B" w:rsidRDefault="00BA2D87" w:rsidP="006C2704">
      <w:pPr>
        <w:spacing w:after="0"/>
        <w:ind w:right="776"/>
        <w:jc w:val="center"/>
        <w:rPr>
          <w:rFonts w:eastAsia="Georgia" w:cstheme="minorHAnsi"/>
          <w:b/>
          <w:color w:val="2F5496" w:themeColor="accent1" w:themeShade="BF"/>
          <w:kern w:val="0"/>
          <w:sz w:val="44"/>
          <w:szCs w:val="44"/>
          <w:lang w:eastAsia="el-GR"/>
        </w:rPr>
      </w:pPr>
      <w:r>
        <w:rPr>
          <w:rFonts w:eastAsia="Georgia" w:cstheme="minorHAnsi"/>
          <w:b/>
          <w:color w:val="2F5496" w:themeColor="accent1" w:themeShade="BF"/>
          <w:kern w:val="0"/>
          <w:sz w:val="44"/>
          <w:szCs w:val="44"/>
          <w:lang w:eastAsia="el-GR"/>
        </w:rPr>
        <w:t xml:space="preserve">ΕΡΓΩΝ </w:t>
      </w:r>
      <w:r w:rsidR="006C774E">
        <w:rPr>
          <w:rFonts w:eastAsia="Georgia" w:cstheme="minorHAnsi"/>
          <w:b/>
          <w:color w:val="2F5496" w:themeColor="accent1" w:themeShade="BF"/>
          <w:kern w:val="0"/>
          <w:sz w:val="44"/>
          <w:szCs w:val="44"/>
          <w:lang w:eastAsia="el-GR"/>
        </w:rPr>
        <w:t xml:space="preserve">ΠΟΥ ΥΛΟΠΟΙΟΥΝΤΑΙ </w:t>
      </w:r>
      <w:r w:rsidR="006C2704" w:rsidRPr="006C2704">
        <w:rPr>
          <w:rFonts w:eastAsia="Georgia" w:cstheme="minorHAnsi"/>
          <w:b/>
          <w:color w:val="2F5496" w:themeColor="accent1" w:themeShade="BF"/>
          <w:kern w:val="0"/>
          <w:sz w:val="44"/>
          <w:szCs w:val="44"/>
          <w:lang w:eastAsia="el-GR"/>
        </w:rPr>
        <w:t>ΣΤΟ ΠΛΑΙΣΙΟ ΠΡΟΣΚΛΗΣΗΣ ΠΡΟΣ ΤΕΛΙΚΟΥΣ ΑΠΟΔΕΚΤΕΣ</w:t>
      </w:r>
    </w:p>
    <w:p w:rsidR="002B2CCD" w:rsidRPr="002B2CCD" w:rsidRDefault="002B2CCD" w:rsidP="002B2CCD">
      <w:pPr>
        <w:spacing w:after="120" w:line="360" w:lineRule="auto"/>
        <w:rPr>
          <w:rFonts w:eastAsia="Arial" w:cstheme="minorHAnsi"/>
          <w:color w:val="000000"/>
          <w:kern w:val="0"/>
          <w:lang w:eastAsia="el-GR"/>
        </w:rPr>
      </w:pPr>
    </w:p>
    <w:p w:rsidR="002B2CCD" w:rsidRPr="002B2CCD" w:rsidRDefault="002B2CCD" w:rsidP="002B2CCD">
      <w:pPr>
        <w:spacing w:after="120" w:line="360" w:lineRule="auto"/>
        <w:rPr>
          <w:rFonts w:eastAsia="Arial" w:cstheme="minorHAnsi"/>
          <w:color w:val="000000"/>
          <w:kern w:val="0"/>
          <w:lang w:eastAsia="el-GR"/>
        </w:rPr>
      </w:pPr>
      <w:r w:rsidRPr="002B2CCD">
        <w:rPr>
          <w:rFonts w:eastAsia="Arial" w:cstheme="minorHAnsi"/>
          <w:b/>
          <w:color w:val="000000"/>
          <w:kern w:val="0"/>
          <w:lang w:eastAsia="el-GR"/>
        </w:rPr>
        <w:t xml:space="preserve"> </w:t>
      </w:r>
    </w:p>
    <w:p w:rsidR="002B2CCD" w:rsidRPr="002B2CCD" w:rsidRDefault="002B2CCD" w:rsidP="002B2CCD">
      <w:pPr>
        <w:spacing w:after="120" w:line="360" w:lineRule="auto"/>
        <w:rPr>
          <w:rFonts w:eastAsia="Arial" w:cstheme="minorHAnsi"/>
          <w:color w:val="000000"/>
          <w:kern w:val="0"/>
          <w:lang w:eastAsia="el-GR"/>
        </w:rPr>
      </w:pPr>
      <w:r w:rsidRPr="002B2CCD">
        <w:rPr>
          <w:rFonts w:eastAsia="Arial" w:cstheme="minorHAnsi"/>
          <w:b/>
          <w:color w:val="000000"/>
          <w:kern w:val="0"/>
          <w:lang w:eastAsia="el-GR"/>
        </w:rPr>
        <w:t xml:space="preserve"> </w:t>
      </w:r>
    </w:p>
    <w:p w:rsidR="002B2CCD" w:rsidRPr="002B2CCD" w:rsidRDefault="002B2CCD" w:rsidP="002B2CCD">
      <w:pPr>
        <w:spacing w:after="120" w:line="360" w:lineRule="auto"/>
        <w:rPr>
          <w:rFonts w:eastAsia="Arial" w:cstheme="minorHAnsi"/>
          <w:color w:val="000000"/>
          <w:kern w:val="0"/>
          <w:lang w:eastAsia="el-GR"/>
        </w:rPr>
      </w:pPr>
      <w:r w:rsidRPr="002B2CCD">
        <w:rPr>
          <w:rFonts w:eastAsia="Arial" w:cstheme="minorHAnsi"/>
          <w:b/>
          <w:color w:val="41372E"/>
          <w:kern w:val="0"/>
          <w:lang w:eastAsia="el-GR"/>
        </w:rPr>
        <w:t xml:space="preserve"> </w:t>
      </w:r>
    </w:p>
    <w:p w:rsidR="002B2CCD" w:rsidRPr="002B2CCD" w:rsidRDefault="002B2CCD" w:rsidP="002B2CCD">
      <w:pPr>
        <w:spacing w:after="120" w:line="360" w:lineRule="auto"/>
        <w:rPr>
          <w:rFonts w:eastAsia="Arial" w:cstheme="minorHAnsi"/>
          <w:color w:val="000000"/>
          <w:kern w:val="0"/>
          <w:lang w:eastAsia="el-GR"/>
        </w:rPr>
      </w:pPr>
      <w:r w:rsidRPr="002B2CCD">
        <w:rPr>
          <w:rFonts w:eastAsia="Arial" w:cstheme="minorHAnsi"/>
          <w:noProof/>
          <w:color w:val="000000"/>
          <w:kern w:val="0"/>
          <w:lang w:eastAsia="el-GR"/>
        </w:rPr>
        <w:drawing>
          <wp:anchor distT="0" distB="0" distL="114300" distR="114300" simplePos="0" relativeHeight="251659264" behindDoc="1" locked="0" layoutInCell="1" allowOverlap="1">
            <wp:simplePos x="0" y="0"/>
            <wp:positionH relativeFrom="margin">
              <wp:posOffset>1677670</wp:posOffset>
            </wp:positionH>
            <wp:positionV relativeFrom="paragraph">
              <wp:posOffset>10795</wp:posOffset>
            </wp:positionV>
            <wp:extent cx="2583815" cy="794385"/>
            <wp:effectExtent l="0" t="0" r="6985" b="5715"/>
            <wp:wrapTight wrapText="bothSides">
              <wp:wrapPolygon edited="0">
                <wp:start x="0" y="0"/>
                <wp:lineTo x="0" y="21237"/>
                <wp:lineTo x="21499" y="21237"/>
                <wp:lineTo x="21499" y="0"/>
                <wp:lineTo x="0" y="0"/>
              </wp:wrapPolygon>
            </wp:wrapTight>
            <wp:docPr id="2" name="Picture 2"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Εικόνα που περιέχει κείμενο, γραμματοσειρά, λογότυπο, γραφικά&#10;&#10;Περιγραφή που δημιουργήθηκε αυτόματα"/>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583815" cy="794385"/>
                    </a:xfrm>
                    <a:prstGeom prst="rect">
                      <a:avLst/>
                    </a:prstGeom>
                  </pic:spPr>
                </pic:pic>
              </a:graphicData>
            </a:graphic>
          </wp:anchor>
        </w:drawing>
      </w:r>
      <w:r w:rsidRPr="002B2CCD">
        <w:rPr>
          <w:rFonts w:eastAsia="Arial" w:cstheme="minorHAnsi"/>
          <w:b/>
          <w:color w:val="000000"/>
          <w:kern w:val="0"/>
          <w:lang w:eastAsia="el-GR"/>
        </w:rPr>
        <w:t xml:space="preserve"> </w:t>
      </w:r>
    </w:p>
    <w:p w:rsidR="002B2CCD" w:rsidRPr="002B2CCD" w:rsidRDefault="002B2CCD" w:rsidP="002B2CCD">
      <w:pPr>
        <w:spacing w:after="120" w:line="360" w:lineRule="auto"/>
        <w:ind w:left="1517"/>
        <w:rPr>
          <w:rFonts w:eastAsia="Arial" w:cstheme="minorHAnsi"/>
          <w:color w:val="000000"/>
          <w:kern w:val="0"/>
          <w:lang w:eastAsia="el-GR"/>
        </w:rPr>
      </w:pPr>
    </w:p>
    <w:p w:rsidR="002B2CCD" w:rsidRPr="002B2CCD" w:rsidRDefault="002B2CCD" w:rsidP="002B2CCD">
      <w:pPr>
        <w:spacing w:after="120" w:line="360" w:lineRule="auto"/>
        <w:ind w:right="1443"/>
        <w:rPr>
          <w:rFonts w:eastAsia="Arial" w:cstheme="minorHAnsi"/>
          <w:color w:val="000000"/>
          <w:kern w:val="0"/>
          <w:lang w:eastAsia="el-GR"/>
        </w:rPr>
      </w:pPr>
      <w:r w:rsidRPr="002B2CCD">
        <w:rPr>
          <w:rFonts w:eastAsia="Arial" w:cstheme="minorHAnsi"/>
          <w:b/>
          <w:color w:val="000000"/>
          <w:kern w:val="0"/>
          <w:lang w:eastAsia="el-GR"/>
        </w:rPr>
        <w:t xml:space="preserve">  </w:t>
      </w:r>
    </w:p>
    <w:p w:rsidR="002B2CCD" w:rsidRPr="002B2CCD" w:rsidRDefault="002B2CCD" w:rsidP="002B2CCD">
      <w:pPr>
        <w:spacing w:after="120" w:line="360" w:lineRule="auto"/>
        <w:rPr>
          <w:rFonts w:eastAsia="Arial" w:cstheme="minorHAnsi"/>
          <w:color w:val="000000"/>
          <w:kern w:val="0"/>
          <w:lang w:eastAsia="el-GR"/>
        </w:rPr>
      </w:pPr>
      <w:r w:rsidRPr="002B2CCD">
        <w:rPr>
          <w:rFonts w:eastAsia="Arial" w:cstheme="minorHAnsi"/>
          <w:b/>
          <w:color w:val="000000"/>
          <w:kern w:val="0"/>
          <w:lang w:eastAsia="el-GR"/>
        </w:rPr>
        <w:t xml:space="preserve"> </w:t>
      </w:r>
    </w:p>
    <w:p w:rsidR="002B2CCD" w:rsidRPr="002B2CCD" w:rsidRDefault="002B2CCD" w:rsidP="002B2CCD">
      <w:pPr>
        <w:spacing w:after="120" w:line="360" w:lineRule="auto"/>
        <w:rPr>
          <w:rFonts w:eastAsia="Arial" w:cstheme="minorHAnsi"/>
          <w:color w:val="000000"/>
          <w:kern w:val="0"/>
          <w:lang w:eastAsia="el-GR"/>
        </w:rPr>
      </w:pPr>
      <w:r w:rsidRPr="002B2CCD">
        <w:rPr>
          <w:rFonts w:eastAsia="Arial" w:cstheme="minorHAnsi"/>
          <w:b/>
          <w:color w:val="000000"/>
          <w:kern w:val="0"/>
          <w:lang w:eastAsia="el-GR"/>
        </w:rPr>
        <w:t xml:space="preserve"> </w:t>
      </w:r>
    </w:p>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Default="002B2CCD">
      <w:pPr>
        <w:rPr>
          <w:b/>
          <w:bCs/>
          <w:u w:val="single"/>
        </w:rPr>
      </w:pPr>
    </w:p>
    <w:p w:rsidR="002B2CCD" w:rsidRDefault="002B2CCD">
      <w:pPr>
        <w:rPr>
          <w:b/>
          <w:bCs/>
          <w:u w:val="single"/>
        </w:rPr>
      </w:pPr>
    </w:p>
    <w:p w:rsidR="00B16532" w:rsidRPr="00B16532" w:rsidRDefault="00B16532" w:rsidP="00B16532">
      <w:pPr>
        <w:keepNext/>
        <w:keepLines/>
        <w:shd w:val="clear" w:color="auto" w:fill="2F5496" w:themeFill="accent1" w:themeFillShade="BF"/>
        <w:spacing w:after="120" w:line="360" w:lineRule="auto"/>
        <w:ind w:left="10" w:hanging="10"/>
        <w:outlineLvl w:val="0"/>
        <w:rPr>
          <w:rFonts w:eastAsia="Georgia" w:cstheme="minorHAnsi"/>
          <w:color w:val="FFFFFF" w:themeColor="background1"/>
          <w:kern w:val="0"/>
          <w:lang w:eastAsia="el-GR"/>
        </w:rPr>
      </w:pPr>
      <w:r w:rsidRPr="00B16532">
        <w:rPr>
          <w:rFonts w:eastAsia="Georgia" w:cstheme="minorHAnsi"/>
          <w:color w:val="FFFFFF" w:themeColor="background1"/>
          <w:kern w:val="0"/>
          <w:lang w:eastAsia="el-GR"/>
        </w:rPr>
        <w:lastRenderedPageBreak/>
        <w:t xml:space="preserve">1. </w:t>
      </w:r>
      <w:r w:rsidR="00FF6B8C">
        <w:rPr>
          <w:rFonts w:eastAsia="Georgia" w:cstheme="minorHAnsi"/>
          <w:color w:val="FFFFFF" w:themeColor="background1"/>
          <w:kern w:val="0"/>
          <w:lang w:eastAsia="el-GR"/>
        </w:rPr>
        <w:t>Εισαγωγή</w:t>
      </w:r>
    </w:p>
    <w:p w:rsidR="00D9439D" w:rsidRDefault="00AB5C67" w:rsidP="00465360">
      <w:pPr>
        <w:spacing w:after="120" w:line="276" w:lineRule="auto"/>
        <w:ind w:left="-4" w:hanging="10"/>
        <w:jc w:val="both"/>
        <w:rPr>
          <w:rFonts w:eastAsia="Arial" w:cstheme="minorHAnsi"/>
          <w:color w:val="000000"/>
          <w:kern w:val="0"/>
          <w:lang w:eastAsia="el-GR"/>
        </w:rPr>
      </w:pPr>
      <w:r>
        <w:rPr>
          <w:rFonts w:eastAsia="Arial" w:cstheme="minorHAnsi"/>
          <w:color w:val="000000"/>
          <w:kern w:val="0"/>
          <w:lang w:eastAsia="el-GR"/>
        </w:rPr>
        <w:t xml:space="preserve">Οι οδηγίες που ακολουθούν είναι συμπληρωματικές των Οδηγιών Υλοποίησης Δράσεων Ενίσχυσης (Έντυπο Δ1_Οδ.2) του Εγχειριδίου Διαδικασιών </w:t>
      </w:r>
      <w:r w:rsidR="00801044">
        <w:rPr>
          <w:rFonts w:eastAsia="Arial" w:cstheme="minorHAnsi"/>
          <w:color w:val="000000"/>
          <w:kern w:val="0"/>
          <w:lang w:eastAsia="el-GR"/>
        </w:rPr>
        <w:t xml:space="preserve">του ΤΑΑ </w:t>
      </w:r>
      <w:r>
        <w:rPr>
          <w:rFonts w:eastAsia="Arial" w:cstheme="minorHAnsi"/>
          <w:color w:val="000000"/>
          <w:kern w:val="0"/>
          <w:lang w:eastAsia="el-GR"/>
        </w:rPr>
        <w:t>και έχουν ως σκοπό τ</w:t>
      </w:r>
      <w:r w:rsidR="00A1358E">
        <w:rPr>
          <w:rFonts w:eastAsia="Arial" w:cstheme="minorHAnsi"/>
          <w:color w:val="000000"/>
          <w:kern w:val="0"/>
          <w:lang w:eastAsia="el-GR"/>
        </w:rPr>
        <w:t>η</w:t>
      </w:r>
      <w:r>
        <w:rPr>
          <w:rFonts w:eastAsia="Arial" w:cstheme="minorHAnsi"/>
          <w:color w:val="000000"/>
          <w:kern w:val="0"/>
          <w:lang w:eastAsia="el-GR"/>
        </w:rPr>
        <w:t>ν</w:t>
      </w:r>
      <w:r w:rsidR="00A1358E">
        <w:rPr>
          <w:rFonts w:eastAsia="Arial" w:cstheme="minorHAnsi"/>
          <w:color w:val="000000"/>
          <w:kern w:val="0"/>
          <w:lang w:eastAsia="el-GR"/>
        </w:rPr>
        <w:t xml:space="preserve"> παροχή </w:t>
      </w:r>
      <w:r w:rsidR="00714713">
        <w:rPr>
          <w:rFonts w:eastAsia="Arial" w:cstheme="minorHAnsi"/>
          <w:color w:val="000000"/>
          <w:kern w:val="0"/>
          <w:lang w:eastAsia="el-GR"/>
        </w:rPr>
        <w:t xml:space="preserve">πρόσθετων </w:t>
      </w:r>
      <w:r w:rsidR="00A1358E">
        <w:rPr>
          <w:rFonts w:eastAsia="Arial" w:cstheme="minorHAnsi"/>
          <w:color w:val="000000"/>
          <w:kern w:val="0"/>
          <w:lang w:eastAsia="el-GR"/>
        </w:rPr>
        <w:t>κατε</w:t>
      </w:r>
      <w:r w:rsidR="008D022C">
        <w:rPr>
          <w:rFonts w:eastAsia="Arial" w:cstheme="minorHAnsi"/>
          <w:color w:val="000000"/>
          <w:kern w:val="0"/>
          <w:lang w:eastAsia="el-GR"/>
        </w:rPr>
        <w:t>υ</w:t>
      </w:r>
      <w:r w:rsidR="005154D2">
        <w:rPr>
          <w:rFonts w:eastAsia="Arial" w:cstheme="minorHAnsi"/>
          <w:color w:val="000000"/>
          <w:kern w:val="0"/>
          <w:lang w:eastAsia="el-GR"/>
        </w:rPr>
        <w:t>θύνσεων</w:t>
      </w:r>
      <w:r w:rsidR="00471C98" w:rsidRPr="00471C98">
        <w:rPr>
          <w:rFonts w:eastAsia="Arial" w:cstheme="minorHAnsi"/>
          <w:color w:val="000000"/>
          <w:kern w:val="0"/>
          <w:lang w:eastAsia="el-GR"/>
        </w:rPr>
        <w:t xml:space="preserve">  </w:t>
      </w:r>
      <w:r w:rsidR="005154D2">
        <w:rPr>
          <w:rFonts w:eastAsia="Arial" w:cstheme="minorHAnsi"/>
          <w:color w:val="000000"/>
          <w:kern w:val="0"/>
          <w:lang w:eastAsia="el-GR"/>
        </w:rPr>
        <w:t>σχετικά με την</w:t>
      </w:r>
      <w:r w:rsidR="00471C98" w:rsidRPr="00471C98">
        <w:rPr>
          <w:rFonts w:eastAsia="Arial" w:cstheme="minorHAnsi"/>
          <w:color w:val="000000"/>
          <w:kern w:val="0"/>
          <w:lang w:eastAsia="el-GR"/>
        </w:rPr>
        <w:t xml:space="preserve"> </w:t>
      </w:r>
      <w:r w:rsidR="00714713">
        <w:rPr>
          <w:rFonts w:eastAsia="Arial" w:cstheme="minorHAnsi"/>
          <w:color w:val="000000"/>
          <w:kern w:val="0"/>
          <w:lang w:eastAsia="el-GR"/>
        </w:rPr>
        <w:t xml:space="preserve">έγκριση και </w:t>
      </w:r>
      <w:r w:rsidR="00471C98" w:rsidRPr="00471C98">
        <w:rPr>
          <w:rFonts w:eastAsia="Arial" w:cstheme="minorHAnsi"/>
          <w:color w:val="000000"/>
          <w:kern w:val="0"/>
          <w:lang w:eastAsia="el-GR"/>
        </w:rPr>
        <w:t xml:space="preserve">παρακολούθηση των έργων που </w:t>
      </w:r>
      <w:r>
        <w:rPr>
          <w:rFonts w:eastAsia="Arial" w:cstheme="minorHAnsi"/>
          <w:color w:val="000000"/>
          <w:kern w:val="0"/>
          <w:lang w:eastAsia="el-GR"/>
        </w:rPr>
        <w:t>επιλέγονται</w:t>
      </w:r>
      <w:r w:rsidRPr="00471C98">
        <w:rPr>
          <w:rFonts w:eastAsia="Arial" w:cstheme="minorHAnsi"/>
          <w:color w:val="000000"/>
          <w:kern w:val="0"/>
          <w:lang w:eastAsia="el-GR"/>
        </w:rPr>
        <w:t xml:space="preserve"> </w:t>
      </w:r>
      <w:r>
        <w:rPr>
          <w:rFonts w:eastAsia="Arial" w:cstheme="minorHAnsi"/>
          <w:color w:val="000000"/>
          <w:kern w:val="0"/>
          <w:lang w:eastAsia="el-GR"/>
        </w:rPr>
        <w:t>από Φορείς Υλοποίησης στο πλαίσιο</w:t>
      </w:r>
      <w:r w:rsidRPr="00471C98">
        <w:rPr>
          <w:rFonts w:eastAsia="Arial" w:cstheme="minorHAnsi"/>
          <w:color w:val="000000"/>
          <w:kern w:val="0"/>
          <w:lang w:eastAsia="el-GR"/>
        </w:rPr>
        <w:t xml:space="preserve"> </w:t>
      </w:r>
      <w:r w:rsidR="00471C98" w:rsidRPr="00471C98">
        <w:rPr>
          <w:rFonts w:eastAsia="Arial" w:cstheme="minorHAnsi"/>
          <w:color w:val="000000"/>
          <w:kern w:val="0"/>
          <w:lang w:eastAsia="el-GR"/>
        </w:rPr>
        <w:t xml:space="preserve">«Πρόσκλησης» </w:t>
      </w:r>
      <w:r w:rsidR="007C23A6">
        <w:rPr>
          <w:rFonts w:eastAsia="Arial" w:cstheme="minorHAnsi"/>
          <w:color w:val="000000"/>
          <w:kern w:val="0"/>
          <w:lang w:eastAsia="el-GR"/>
        </w:rPr>
        <w:t>προ</w:t>
      </w:r>
      <w:r w:rsidR="0040009C">
        <w:rPr>
          <w:rFonts w:eastAsia="Arial" w:cstheme="minorHAnsi"/>
          <w:color w:val="000000"/>
          <w:kern w:val="0"/>
          <w:lang w:eastAsia="el-GR"/>
        </w:rPr>
        <w:t xml:space="preserve">ς </w:t>
      </w:r>
      <w:r w:rsidR="00714713">
        <w:rPr>
          <w:rFonts w:eastAsia="Arial" w:cstheme="minorHAnsi"/>
          <w:color w:val="000000"/>
          <w:kern w:val="0"/>
          <w:lang w:eastAsia="el-GR"/>
        </w:rPr>
        <w:t>δυνητικούς δικαιούχους/τελικούς αποδέκτες κονδυλίων</w:t>
      </w:r>
      <w:r w:rsidR="00D9439D">
        <w:rPr>
          <w:rFonts w:eastAsia="Arial" w:cstheme="minorHAnsi"/>
          <w:color w:val="000000"/>
          <w:kern w:val="0"/>
          <w:lang w:eastAsia="el-GR"/>
        </w:rPr>
        <w:t xml:space="preserve">. </w:t>
      </w:r>
    </w:p>
    <w:p w:rsidR="00D9439D" w:rsidRDefault="00D9439D" w:rsidP="00465360">
      <w:pPr>
        <w:spacing w:after="120" w:line="276" w:lineRule="auto"/>
        <w:ind w:left="-4" w:hanging="10"/>
        <w:jc w:val="both"/>
      </w:pPr>
      <w:r>
        <w:t xml:space="preserve">Τελικός Αποδέκτης </w:t>
      </w:r>
      <w:r w:rsidRPr="00402178">
        <w:t>(</w:t>
      </w:r>
      <w:r w:rsidRPr="0096267D">
        <w:t>final</w:t>
      </w:r>
      <w:r w:rsidRPr="00374B92">
        <w:t xml:space="preserve"> </w:t>
      </w:r>
      <w:r w:rsidRPr="0096267D">
        <w:t>recipient</w:t>
      </w:r>
      <w:r w:rsidRPr="00374B92">
        <w:t>)</w:t>
      </w:r>
      <w:r>
        <w:t xml:space="preserve"> κονδυλίων του ΤΑΑ είναι το  </w:t>
      </w:r>
      <w:r w:rsidRPr="00433D47">
        <w:rPr>
          <w:rFonts w:cstheme="minorHAnsi"/>
        </w:rPr>
        <w:t xml:space="preserve">νομικό ή φυσικό πρόσωπο που κάνει χρήση των κονδυλίων του ΤΑΑ </w:t>
      </w:r>
      <w:r>
        <w:rPr>
          <w:rFonts w:cstheme="minorHAnsi"/>
        </w:rPr>
        <w:t>προκειμένου να λάβει υπηρεσία</w:t>
      </w:r>
      <w:r w:rsidR="00F56ADF">
        <w:rPr>
          <w:rFonts w:cstheme="minorHAnsi"/>
        </w:rPr>
        <w:t xml:space="preserve"> ή </w:t>
      </w:r>
      <w:r>
        <w:rPr>
          <w:rFonts w:cstheme="minorHAnsi"/>
        </w:rPr>
        <w:t xml:space="preserve">προμήθεια </w:t>
      </w:r>
      <w:r w:rsidR="00F56ADF">
        <w:rPr>
          <w:rFonts w:cstheme="minorHAnsi"/>
        </w:rPr>
        <w:t>είτε να εκτελέσει</w:t>
      </w:r>
      <w:r>
        <w:rPr>
          <w:rFonts w:cstheme="minorHAnsi"/>
        </w:rPr>
        <w:t xml:space="preserve"> έργο</w:t>
      </w:r>
      <w:r w:rsidR="00C931E8" w:rsidRPr="007E61ED">
        <w:rPr>
          <w:rFonts w:cstheme="minorHAnsi"/>
        </w:rPr>
        <w:t xml:space="preserve">. </w:t>
      </w:r>
      <w:r w:rsidR="00C931E8">
        <w:rPr>
          <w:rFonts w:cstheme="minorHAnsi"/>
        </w:rPr>
        <w:t>Αποτελεί</w:t>
      </w:r>
      <w:r>
        <w:rPr>
          <w:rFonts w:cstheme="minorHAnsi"/>
        </w:rPr>
        <w:t xml:space="preserve"> </w:t>
      </w:r>
      <w:r w:rsidR="00C931E8">
        <w:t>την</w:t>
      </w:r>
      <w:r>
        <w:t xml:space="preserve"> τελευταία οντότητα που λαμβάνει </w:t>
      </w:r>
      <w:r w:rsidR="00E063F5">
        <w:t>κονδύλια</w:t>
      </w:r>
      <w:r>
        <w:t xml:space="preserve"> στο πλαίσιο υλοποίησης </w:t>
      </w:r>
      <w:r w:rsidR="00E063F5">
        <w:t xml:space="preserve">ενός έργου </w:t>
      </w:r>
      <w:r>
        <w:t>του ΤΑΑ</w:t>
      </w:r>
      <w:r w:rsidR="00C931E8">
        <w:t>,</w:t>
      </w:r>
      <w:r w:rsidRPr="00327FD0">
        <w:t xml:space="preserve"> </w:t>
      </w:r>
      <w:r>
        <w:t>η οποία δεν είναι ανάδοχος ή υπεργολάβος. Διευκρινίζεται ότι</w:t>
      </w:r>
      <w:r w:rsidR="00C931E8">
        <w:t xml:space="preserve">, </w:t>
      </w:r>
      <w:r w:rsidR="00E063F5">
        <w:t xml:space="preserve">ο </w:t>
      </w:r>
      <w:r w:rsidR="00F56ADF">
        <w:t xml:space="preserve">ανάδοχος στο πλαίσιο του παραπάνω ορισμού </w:t>
      </w:r>
      <w:r>
        <w:t xml:space="preserve">δεν ταυτίζεται </w:t>
      </w:r>
      <w:r w:rsidR="00F56ADF">
        <w:t xml:space="preserve">απαραίτητα </w:t>
      </w:r>
      <w:r>
        <w:t xml:space="preserve">με τον ανάδοχο δημόσιος σύμβασης αλλά μπορεί να είναι και </w:t>
      </w:r>
      <w:r w:rsidR="00F40B23">
        <w:t>οποιοσδήποτε</w:t>
      </w:r>
      <w:r>
        <w:t xml:space="preserve"> προμηθευτής </w:t>
      </w:r>
      <w:r w:rsidR="00F40B23">
        <w:t xml:space="preserve">ή πάροχος υπηρεσίας που επιλέγεται από τον τελικό αποδέκτη </w:t>
      </w:r>
      <w:r w:rsidR="00C931E8">
        <w:t>προκειμένου να προμηθευτεί το ωφέλημα της επιχορήγησης</w:t>
      </w:r>
      <w:r w:rsidR="00F40B23">
        <w:t>.</w:t>
      </w:r>
      <w:r>
        <w:t xml:space="preserve">  </w:t>
      </w:r>
    </w:p>
    <w:p w:rsidR="00471C98" w:rsidRPr="00471C98" w:rsidRDefault="00F40B23" w:rsidP="00465360">
      <w:pPr>
        <w:spacing w:after="120" w:line="276" w:lineRule="auto"/>
        <w:ind w:left="-4" w:hanging="10"/>
        <w:jc w:val="both"/>
        <w:rPr>
          <w:rFonts w:eastAsia="Arial" w:cstheme="minorHAnsi"/>
          <w:color w:val="000000"/>
          <w:kern w:val="0"/>
          <w:lang w:eastAsia="el-GR"/>
        </w:rPr>
      </w:pPr>
      <w:r w:rsidRPr="00471C98">
        <w:rPr>
          <w:rFonts w:eastAsia="Arial" w:cstheme="minorHAnsi"/>
          <w:color w:val="000000"/>
          <w:kern w:val="0"/>
          <w:lang w:eastAsia="el-GR"/>
        </w:rPr>
        <w:t>Στο Ε</w:t>
      </w:r>
      <w:r w:rsidR="0023198E">
        <w:rPr>
          <w:rFonts w:eastAsia="Arial" w:cstheme="minorHAnsi"/>
          <w:color w:val="000000"/>
          <w:kern w:val="0"/>
          <w:lang w:eastAsia="el-GR"/>
        </w:rPr>
        <w:t xml:space="preserve">θνικό </w:t>
      </w:r>
      <w:r w:rsidRPr="00471C98">
        <w:rPr>
          <w:rFonts w:eastAsia="Arial" w:cstheme="minorHAnsi"/>
          <w:color w:val="000000"/>
          <w:kern w:val="0"/>
          <w:lang w:eastAsia="el-GR"/>
        </w:rPr>
        <w:t>Σ</w:t>
      </w:r>
      <w:r w:rsidR="0023198E">
        <w:rPr>
          <w:rFonts w:eastAsia="Arial" w:cstheme="minorHAnsi"/>
          <w:color w:val="000000"/>
          <w:kern w:val="0"/>
          <w:lang w:eastAsia="el-GR"/>
        </w:rPr>
        <w:t xml:space="preserve">χέδιο </w:t>
      </w:r>
      <w:r w:rsidRPr="00471C98">
        <w:rPr>
          <w:rFonts w:eastAsia="Arial" w:cstheme="minorHAnsi"/>
          <w:color w:val="000000"/>
          <w:kern w:val="0"/>
          <w:lang w:eastAsia="el-GR"/>
        </w:rPr>
        <w:t>Α</w:t>
      </w:r>
      <w:r w:rsidR="0023198E">
        <w:rPr>
          <w:rFonts w:eastAsia="Arial" w:cstheme="minorHAnsi"/>
          <w:color w:val="000000"/>
          <w:kern w:val="0"/>
          <w:lang w:eastAsia="el-GR"/>
        </w:rPr>
        <w:t xml:space="preserve">νάκαμψης και </w:t>
      </w:r>
      <w:r w:rsidRPr="00471C98">
        <w:rPr>
          <w:rFonts w:eastAsia="Arial" w:cstheme="minorHAnsi"/>
          <w:color w:val="000000"/>
          <w:kern w:val="0"/>
          <w:lang w:eastAsia="el-GR"/>
        </w:rPr>
        <w:t>Α</w:t>
      </w:r>
      <w:r w:rsidR="0023198E">
        <w:rPr>
          <w:rFonts w:eastAsia="Arial" w:cstheme="minorHAnsi"/>
          <w:color w:val="000000"/>
          <w:kern w:val="0"/>
          <w:lang w:eastAsia="el-GR"/>
        </w:rPr>
        <w:t>νθεκτικότητας</w:t>
      </w:r>
      <w:r w:rsidRPr="00471C98">
        <w:rPr>
          <w:rFonts w:eastAsia="Arial" w:cstheme="minorHAnsi"/>
          <w:color w:val="000000"/>
          <w:kern w:val="0"/>
          <w:lang w:eastAsia="el-GR"/>
        </w:rPr>
        <w:t xml:space="preserve"> </w:t>
      </w:r>
      <w:r w:rsidR="00F56ADF">
        <w:rPr>
          <w:rFonts w:eastAsia="Arial" w:cstheme="minorHAnsi"/>
          <w:color w:val="000000"/>
          <w:kern w:val="0"/>
          <w:lang w:eastAsia="el-GR"/>
        </w:rPr>
        <w:t>έ</w:t>
      </w:r>
      <w:r w:rsidRPr="00471C98">
        <w:rPr>
          <w:rFonts w:eastAsia="Arial" w:cstheme="minorHAnsi"/>
          <w:color w:val="000000"/>
          <w:kern w:val="0"/>
          <w:lang w:eastAsia="el-GR"/>
        </w:rPr>
        <w:t xml:space="preserve">χουν συμπεριληφθεί </w:t>
      </w:r>
      <w:r>
        <w:rPr>
          <w:rFonts w:eastAsia="Arial" w:cstheme="minorHAnsi"/>
          <w:color w:val="000000"/>
          <w:kern w:val="0"/>
          <w:lang w:eastAsia="el-GR"/>
        </w:rPr>
        <w:t>Δράσεις/Έ</w:t>
      </w:r>
      <w:r w:rsidRPr="00471C98">
        <w:rPr>
          <w:rFonts w:eastAsia="Arial" w:cstheme="minorHAnsi"/>
          <w:color w:val="000000"/>
          <w:kern w:val="0"/>
          <w:lang w:eastAsia="el-GR"/>
        </w:rPr>
        <w:t xml:space="preserve">ργα </w:t>
      </w:r>
      <w:r>
        <w:rPr>
          <w:rFonts w:eastAsia="Arial" w:cstheme="minorHAnsi"/>
          <w:color w:val="000000"/>
          <w:kern w:val="0"/>
          <w:lang w:eastAsia="el-GR"/>
        </w:rPr>
        <w:t>που</w:t>
      </w:r>
      <w:r w:rsidRPr="00471C98">
        <w:rPr>
          <w:rFonts w:eastAsia="Arial" w:cstheme="minorHAnsi"/>
          <w:color w:val="000000"/>
          <w:kern w:val="0"/>
          <w:lang w:eastAsia="el-GR"/>
        </w:rPr>
        <w:t xml:space="preserve"> αφορούν στην </w:t>
      </w:r>
      <w:r>
        <w:rPr>
          <w:rFonts w:eastAsia="Arial" w:cstheme="minorHAnsi"/>
          <w:color w:val="000000"/>
          <w:kern w:val="0"/>
          <w:lang w:eastAsia="el-GR"/>
        </w:rPr>
        <w:t>επιχορήγηση</w:t>
      </w:r>
      <w:r w:rsidRPr="00471C98">
        <w:rPr>
          <w:rFonts w:eastAsia="Arial" w:cstheme="minorHAnsi"/>
          <w:color w:val="000000"/>
          <w:kern w:val="0"/>
          <w:lang w:eastAsia="el-GR"/>
        </w:rPr>
        <w:t xml:space="preserve"> </w:t>
      </w:r>
      <w:r w:rsidR="00F56ADF">
        <w:rPr>
          <w:rFonts w:eastAsia="Arial" w:cstheme="minorHAnsi"/>
          <w:color w:val="000000"/>
          <w:kern w:val="0"/>
          <w:lang w:eastAsia="el-GR"/>
        </w:rPr>
        <w:t xml:space="preserve">πλήθους τελικών αποδεκτών, οι οποίοι μπορούν να διαφοροποιούνται ως προς τον τύπο τους, ανάλογα με την πολιτική στο πλαίσιο της οποίας υλοποιείται το έργο και την ομάδα ωφελουμένων στην οποία στοχεύει. Τέτοιου είδους έργα υλοποιούνται συνήθως μέσω Πρόσκλησης. </w:t>
      </w:r>
    </w:p>
    <w:p w:rsidR="00D26DE0" w:rsidRDefault="00FF6B8C" w:rsidP="00465360">
      <w:pPr>
        <w:spacing w:after="120" w:line="276" w:lineRule="auto"/>
        <w:ind w:left="-4" w:hanging="10"/>
        <w:jc w:val="both"/>
        <w:rPr>
          <w:rFonts w:eastAsia="Arial" w:cstheme="minorHAnsi"/>
          <w:color w:val="000000"/>
          <w:kern w:val="0"/>
          <w:lang w:eastAsia="el-GR"/>
        </w:rPr>
      </w:pPr>
      <w:r>
        <w:rPr>
          <w:rFonts w:eastAsia="Arial" w:cstheme="minorHAnsi"/>
          <w:color w:val="000000"/>
          <w:kern w:val="0"/>
          <w:lang w:eastAsia="el-GR"/>
        </w:rPr>
        <w:t>Ειδικότερα, κ</w:t>
      </w:r>
      <w:r w:rsidR="00471C98" w:rsidRPr="00471C98">
        <w:rPr>
          <w:rFonts w:eastAsia="Arial" w:cstheme="minorHAnsi"/>
          <w:color w:val="000000"/>
          <w:kern w:val="0"/>
          <w:lang w:eastAsia="el-GR"/>
        </w:rPr>
        <w:t xml:space="preserve">ατά το πρώτο στάδιο υλοποίησης ενός τέτοιου έργου </w:t>
      </w:r>
      <w:r w:rsidR="002078CB">
        <w:rPr>
          <w:rFonts w:eastAsia="Arial" w:cstheme="minorHAnsi"/>
          <w:color w:val="000000"/>
          <w:kern w:val="0"/>
          <w:lang w:eastAsia="el-GR"/>
        </w:rPr>
        <w:t xml:space="preserve">ο Φορέας Υλοποίησης </w:t>
      </w:r>
      <w:r w:rsidR="00CE2F40" w:rsidRPr="00471C98">
        <w:rPr>
          <w:rFonts w:eastAsia="Arial" w:cstheme="minorHAnsi"/>
          <w:color w:val="000000"/>
          <w:kern w:val="0"/>
          <w:lang w:eastAsia="el-GR"/>
        </w:rPr>
        <w:t>δημοσ</w:t>
      </w:r>
      <w:r w:rsidR="00CE2F40" w:rsidRPr="007F5D18">
        <w:rPr>
          <w:rFonts w:eastAsia="Arial" w:cstheme="minorHAnsi"/>
          <w:color w:val="000000"/>
          <w:kern w:val="0"/>
          <w:lang w:eastAsia="el-GR"/>
        </w:rPr>
        <w:t>ι</w:t>
      </w:r>
      <w:r w:rsidR="00CE2F40">
        <w:rPr>
          <w:rFonts w:eastAsia="Arial" w:cstheme="minorHAnsi"/>
          <w:color w:val="000000"/>
          <w:kern w:val="0"/>
          <w:lang w:eastAsia="el-GR"/>
        </w:rPr>
        <w:t>εύει</w:t>
      </w:r>
      <w:r w:rsidR="00471C98" w:rsidRPr="00471C98">
        <w:rPr>
          <w:rFonts w:eastAsia="Arial" w:cstheme="minorHAnsi"/>
          <w:color w:val="000000"/>
          <w:kern w:val="0"/>
          <w:lang w:eastAsia="el-GR"/>
        </w:rPr>
        <w:t xml:space="preserve">  Πρόσκληση</w:t>
      </w:r>
      <w:r w:rsidR="00F56ADF">
        <w:rPr>
          <w:rFonts w:eastAsia="Arial" w:cstheme="minorHAnsi"/>
          <w:color w:val="000000"/>
          <w:kern w:val="0"/>
          <w:lang w:eastAsia="el-GR"/>
        </w:rPr>
        <w:t xml:space="preserve"> </w:t>
      </w:r>
      <w:r w:rsidR="00743F29">
        <w:rPr>
          <w:rFonts w:eastAsia="Arial" w:cstheme="minorHAnsi"/>
          <w:color w:val="000000"/>
          <w:kern w:val="0"/>
          <w:lang w:eastAsia="el-GR"/>
        </w:rPr>
        <w:t xml:space="preserve">προς τους </w:t>
      </w:r>
      <w:r w:rsidR="00471C98" w:rsidRPr="00471C98">
        <w:rPr>
          <w:rFonts w:eastAsia="Arial" w:cstheme="minorHAnsi"/>
          <w:color w:val="000000"/>
          <w:kern w:val="0"/>
          <w:lang w:eastAsia="el-GR"/>
        </w:rPr>
        <w:t xml:space="preserve">δυνητικούς </w:t>
      </w:r>
      <w:r w:rsidR="00701FA8" w:rsidRPr="00471C98">
        <w:rPr>
          <w:rFonts w:eastAsia="Arial" w:cstheme="minorHAnsi"/>
          <w:color w:val="000000"/>
          <w:kern w:val="0"/>
          <w:lang w:eastAsia="el-GR"/>
        </w:rPr>
        <w:t>δικαιούχους</w:t>
      </w:r>
      <w:r w:rsidR="00471C98" w:rsidRPr="00471C98">
        <w:rPr>
          <w:rFonts w:eastAsia="Arial" w:cstheme="minorHAnsi"/>
          <w:color w:val="000000"/>
          <w:kern w:val="0"/>
          <w:lang w:eastAsia="el-GR"/>
        </w:rPr>
        <w:t>/ τελικούς αποδέκτες κονδυλίων</w:t>
      </w:r>
      <w:r w:rsidR="00701FA8">
        <w:rPr>
          <w:rFonts w:eastAsia="Arial" w:cstheme="minorHAnsi"/>
          <w:color w:val="000000"/>
          <w:kern w:val="0"/>
          <w:lang w:eastAsia="el-GR"/>
        </w:rPr>
        <w:t>,</w:t>
      </w:r>
      <w:r w:rsidR="00471C98" w:rsidRPr="00471C98">
        <w:rPr>
          <w:rFonts w:eastAsia="Arial" w:cstheme="minorHAnsi"/>
          <w:color w:val="000000"/>
          <w:kern w:val="0"/>
          <w:lang w:eastAsia="el-GR"/>
        </w:rPr>
        <w:t xml:space="preserve"> </w:t>
      </w:r>
      <w:r w:rsidR="00743F29">
        <w:rPr>
          <w:rFonts w:eastAsia="Arial" w:cstheme="minorHAnsi"/>
          <w:color w:val="000000"/>
          <w:kern w:val="0"/>
          <w:lang w:eastAsia="el-GR"/>
        </w:rPr>
        <w:t>για την υποβολή προτάσεων χρηματοδότησης.</w:t>
      </w:r>
      <w:r w:rsidR="00471C98" w:rsidRPr="00471C98">
        <w:rPr>
          <w:rFonts w:eastAsia="Arial" w:cstheme="minorHAnsi"/>
          <w:color w:val="000000"/>
          <w:kern w:val="0"/>
          <w:lang w:eastAsia="el-GR"/>
        </w:rPr>
        <w:t xml:space="preserve"> </w:t>
      </w:r>
      <w:r w:rsidR="00F56ADF">
        <w:rPr>
          <w:rFonts w:eastAsia="Arial" w:cstheme="minorHAnsi"/>
          <w:color w:val="000000"/>
          <w:kern w:val="0"/>
          <w:lang w:eastAsia="el-GR"/>
        </w:rPr>
        <w:t>Ο</w:t>
      </w:r>
      <w:r w:rsidR="00471C98" w:rsidRPr="00471C98">
        <w:rPr>
          <w:rFonts w:eastAsia="Arial" w:cstheme="minorHAnsi"/>
          <w:color w:val="000000"/>
          <w:kern w:val="0"/>
          <w:lang w:eastAsia="el-GR"/>
        </w:rPr>
        <w:t xml:space="preserve"> Φορέας θα υποδεχθεί ένα πλήθος αιτήσεων, τις οποίες στη συνέχεια θα αξιολογήσει και εν τέλει θα καταλήξει σε έναν πίνακα δικαιούχων/τελικών αποδεκτών, </w:t>
      </w:r>
      <w:r w:rsidR="00714713">
        <w:rPr>
          <w:rFonts w:eastAsia="Arial" w:cstheme="minorHAnsi"/>
          <w:color w:val="000000"/>
          <w:kern w:val="0"/>
          <w:lang w:eastAsia="el-GR"/>
        </w:rPr>
        <w:t xml:space="preserve">οι οποίοι πληρούν τα κριτήρια επιλογής της Πρόσκλησης και </w:t>
      </w:r>
      <w:r w:rsidR="00471C98" w:rsidRPr="00471C98">
        <w:rPr>
          <w:rFonts w:eastAsia="Arial" w:cstheme="minorHAnsi"/>
          <w:color w:val="000000"/>
          <w:kern w:val="0"/>
          <w:lang w:eastAsia="el-GR"/>
        </w:rPr>
        <w:t xml:space="preserve">στους οποίους θα εγκριθεί ένα συγκεκριμένο ποσό της συνολικής </w:t>
      </w:r>
      <w:r w:rsidR="000A1AE5">
        <w:rPr>
          <w:rFonts w:eastAsia="Arial" w:cstheme="minorHAnsi"/>
          <w:color w:val="000000"/>
          <w:kern w:val="0"/>
          <w:lang w:eastAsia="el-GR"/>
        </w:rPr>
        <w:t xml:space="preserve">επιχορήγησης που αφορά η πρόσκληση, </w:t>
      </w:r>
      <w:r w:rsidR="00471C98" w:rsidRPr="00471C98">
        <w:rPr>
          <w:rFonts w:eastAsia="Arial" w:cstheme="minorHAnsi"/>
          <w:color w:val="000000"/>
          <w:kern w:val="0"/>
          <w:lang w:eastAsia="el-GR"/>
        </w:rPr>
        <w:t xml:space="preserve">μέσω της Απόφασης Υπαγωγής. </w:t>
      </w:r>
      <w:r w:rsidR="00305C12">
        <w:rPr>
          <w:rFonts w:eastAsia="Arial" w:cstheme="minorHAnsi"/>
          <w:color w:val="000000"/>
          <w:kern w:val="0"/>
          <w:lang w:eastAsia="el-GR"/>
        </w:rPr>
        <w:t xml:space="preserve">Ενδεικτικές περιπτώσεις τελικών αποδεκτών που επιχορηγούνται στο πλαίσιο </w:t>
      </w:r>
      <w:r>
        <w:rPr>
          <w:rFonts w:eastAsia="Arial" w:cstheme="minorHAnsi"/>
          <w:color w:val="000000"/>
          <w:kern w:val="0"/>
          <w:lang w:eastAsia="el-GR"/>
        </w:rPr>
        <w:t xml:space="preserve">έργων </w:t>
      </w:r>
      <w:r w:rsidR="00305C12">
        <w:rPr>
          <w:rFonts w:eastAsia="Arial" w:cstheme="minorHAnsi"/>
          <w:color w:val="000000"/>
          <w:kern w:val="0"/>
          <w:lang w:eastAsia="el-GR"/>
        </w:rPr>
        <w:t>του ΤΑΑ είναι οι εξής :</w:t>
      </w:r>
    </w:p>
    <w:p w:rsidR="00EF29DE" w:rsidRPr="007E61ED" w:rsidRDefault="00AF1F41" w:rsidP="007E61ED">
      <w:pPr>
        <w:pStyle w:val="a7"/>
        <w:numPr>
          <w:ilvl w:val="0"/>
          <w:numId w:val="7"/>
        </w:numPr>
        <w:spacing w:after="120" w:line="276" w:lineRule="auto"/>
        <w:jc w:val="both"/>
        <w:rPr>
          <w:rFonts w:eastAsia="Arial" w:cstheme="minorHAnsi"/>
          <w:color w:val="000000"/>
          <w:lang w:val="el-GR" w:eastAsia="el-GR"/>
        </w:rPr>
      </w:pPr>
      <w:r>
        <w:rPr>
          <w:rFonts w:eastAsia="Arial" w:cstheme="minorHAnsi"/>
          <w:color w:val="000000"/>
          <w:lang w:val="el-GR" w:eastAsia="el-GR"/>
        </w:rPr>
        <w:t>Επιχειρήσεις</w:t>
      </w:r>
      <w:r w:rsidR="00EF29DE" w:rsidRPr="007E61ED">
        <w:rPr>
          <w:rFonts w:eastAsia="Arial" w:cstheme="minorHAnsi"/>
          <w:color w:val="000000"/>
          <w:lang w:val="el-GR" w:eastAsia="el-GR"/>
        </w:rPr>
        <w:t xml:space="preserve"> που λαμβάνουν επιχορήγηση για την εκτέλεση έργων προς ενίσχυση </w:t>
      </w:r>
      <w:r w:rsidR="00DF3795">
        <w:rPr>
          <w:rFonts w:eastAsia="Arial" w:cstheme="minorHAnsi"/>
          <w:color w:val="000000"/>
          <w:lang w:val="el-GR" w:eastAsia="el-GR"/>
        </w:rPr>
        <w:t>της επιχειρηματικής τους</w:t>
      </w:r>
      <w:r w:rsidR="00EF29DE" w:rsidRPr="007E61ED">
        <w:rPr>
          <w:rFonts w:eastAsia="Arial" w:cstheme="minorHAnsi"/>
          <w:color w:val="000000"/>
          <w:lang w:val="el-GR" w:eastAsia="el-GR"/>
        </w:rPr>
        <w:t xml:space="preserve"> δραστηριότητας. </w:t>
      </w:r>
    </w:p>
    <w:p w:rsidR="00EF29DE" w:rsidRPr="007E61ED" w:rsidRDefault="00EF29DE" w:rsidP="007E61ED">
      <w:pPr>
        <w:pStyle w:val="a7"/>
        <w:numPr>
          <w:ilvl w:val="0"/>
          <w:numId w:val="7"/>
        </w:numPr>
        <w:spacing w:after="120" w:line="276" w:lineRule="auto"/>
        <w:jc w:val="both"/>
        <w:rPr>
          <w:rFonts w:eastAsia="Arial" w:cstheme="minorHAnsi"/>
          <w:color w:val="000000"/>
          <w:lang w:val="el-GR" w:eastAsia="el-GR"/>
        </w:rPr>
      </w:pPr>
      <w:r w:rsidRPr="007E61ED">
        <w:rPr>
          <w:rFonts w:eastAsia="Arial" w:cstheme="minorHAnsi"/>
          <w:color w:val="000000"/>
          <w:lang w:val="el-GR" w:eastAsia="el-GR"/>
        </w:rPr>
        <w:t xml:space="preserve">Νομικά πρόσωπα Ιδιωτικού Δικαίου ή Δημοσίου Δικαίου που λαμβάνουν επιχορήγηση για την εκτέλεση έργων στον τομέα αρμοδιότητάς </w:t>
      </w:r>
      <w:r w:rsidR="00305C12" w:rsidRPr="007E61ED">
        <w:rPr>
          <w:rFonts w:eastAsia="Arial" w:cstheme="minorHAnsi"/>
          <w:color w:val="000000"/>
          <w:lang w:val="el-GR" w:eastAsia="el-GR"/>
        </w:rPr>
        <w:t>τους μέσω ανάθεσης δημοσίων συμβάσεων ή και με ίδια μέσα.</w:t>
      </w:r>
    </w:p>
    <w:p w:rsidR="00EF29DE" w:rsidRPr="007E61ED" w:rsidRDefault="00EF29DE" w:rsidP="007E61ED">
      <w:pPr>
        <w:pStyle w:val="a7"/>
        <w:numPr>
          <w:ilvl w:val="0"/>
          <w:numId w:val="7"/>
        </w:numPr>
        <w:spacing w:after="120" w:line="276" w:lineRule="auto"/>
        <w:jc w:val="both"/>
        <w:rPr>
          <w:rFonts w:eastAsia="Arial" w:cstheme="minorHAnsi"/>
          <w:color w:val="000000"/>
          <w:lang w:eastAsia="el-GR"/>
        </w:rPr>
      </w:pPr>
      <w:r w:rsidRPr="007E61ED">
        <w:rPr>
          <w:rFonts w:eastAsia="Arial" w:cstheme="minorHAnsi"/>
          <w:color w:val="000000"/>
          <w:lang w:val="el-GR" w:eastAsia="el-GR"/>
        </w:rPr>
        <w:t xml:space="preserve">Νομικά πρόσωπα μη κερδοσκοπικού χαρακτήρα που λαμβάνουν επιχορήγηση για την εκτέλεση έργων στο πλαίσιο συγκεκριμένης άδειας που τους έχει </w:t>
      </w:r>
      <w:r w:rsidR="00AF4FFB" w:rsidRPr="007E61ED">
        <w:rPr>
          <w:rFonts w:eastAsia="Arial" w:cstheme="minorHAnsi"/>
          <w:color w:val="000000"/>
          <w:lang w:val="el-GR" w:eastAsia="el-GR"/>
        </w:rPr>
        <w:t>απονεμηθεί</w:t>
      </w:r>
      <w:r w:rsidRPr="007E61ED">
        <w:rPr>
          <w:rFonts w:eastAsia="Arial" w:cstheme="minorHAnsi"/>
          <w:color w:val="000000"/>
          <w:lang w:val="el-GR" w:eastAsia="el-GR"/>
        </w:rPr>
        <w:t>.</w:t>
      </w:r>
      <w:r w:rsidR="00AF4FFB" w:rsidRPr="007E61ED">
        <w:rPr>
          <w:rFonts w:eastAsia="Arial" w:cstheme="minorHAnsi"/>
          <w:color w:val="000000"/>
          <w:lang w:val="el-GR" w:eastAsia="el-GR"/>
        </w:rPr>
        <w:t xml:space="preserve"> </w:t>
      </w:r>
      <w:r w:rsidR="00AF4FFB" w:rsidRPr="007E61ED">
        <w:rPr>
          <w:rFonts w:eastAsia="Arial" w:cstheme="minorHAnsi"/>
          <w:color w:val="000000"/>
          <w:lang w:eastAsia="el-GR"/>
        </w:rPr>
        <w:t>Συνήθως εκτελούν τα έργα τους με ίδια μέσα.</w:t>
      </w:r>
    </w:p>
    <w:p w:rsidR="00EF29DE" w:rsidRPr="007E61ED" w:rsidRDefault="00EF29DE" w:rsidP="007E61ED">
      <w:pPr>
        <w:pStyle w:val="a7"/>
        <w:numPr>
          <w:ilvl w:val="0"/>
          <w:numId w:val="7"/>
        </w:numPr>
        <w:spacing w:after="120" w:line="276" w:lineRule="auto"/>
        <w:jc w:val="both"/>
        <w:rPr>
          <w:rFonts w:eastAsia="Arial" w:cstheme="minorHAnsi"/>
          <w:color w:val="000000"/>
          <w:lang w:val="el-GR" w:eastAsia="el-GR"/>
        </w:rPr>
      </w:pPr>
      <w:r w:rsidRPr="007E61ED">
        <w:rPr>
          <w:rFonts w:eastAsia="Arial" w:cstheme="minorHAnsi"/>
          <w:color w:val="000000"/>
          <w:lang w:val="el-GR" w:eastAsia="el-GR"/>
        </w:rPr>
        <w:t xml:space="preserve">Φυσικά πρόσωπα τα οποία λαμβάνουν επιχορήγηση προκειμένου να </w:t>
      </w:r>
      <w:r w:rsidR="00305C12" w:rsidRPr="007E61ED">
        <w:rPr>
          <w:rFonts w:eastAsia="Arial" w:cstheme="minorHAnsi"/>
          <w:color w:val="000000"/>
          <w:lang w:val="el-GR" w:eastAsia="el-GR"/>
        </w:rPr>
        <w:t>προμηθευτούν</w:t>
      </w:r>
      <w:r w:rsidRPr="007E61ED">
        <w:rPr>
          <w:rFonts w:eastAsia="Arial" w:cstheme="minorHAnsi"/>
          <w:color w:val="000000"/>
          <w:lang w:val="el-GR" w:eastAsia="el-GR"/>
        </w:rPr>
        <w:t xml:space="preserve"> συγκεκριμένη υπηρεσία ή προϊόν, στο πλαίσιο άσκησης μίας δημόσιας πολ</w:t>
      </w:r>
      <w:r w:rsidR="00305C12" w:rsidRPr="007E61ED">
        <w:rPr>
          <w:rFonts w:eastAsia="Arial" w:cstheme="minorHAnsi"/>
          <w:color w:val="000000"/>
          <w:lang w:val="el-GR" w:eastAsia="el-GR"/>
        </w:rPr>
        <w:t>ιτικής.</w:t>
      </w:r>
      <w:r w:rsidR="00AF4FFB" w:rsidRPr="007E61ED">
        <w:rPr>
          <w:rFonts w:eastAsia="Arial" w:cstheme="minorHAnsi"/>
          <w:color w:val="000000"/>
          <w:lang w:val="el-GR" w:eastAsia="el-GR"/>
        </w:rPr>
        <w:t xml:space="preserve"> Ο προμηθευτής ή ο πάροχος της υπηρεσίας επιλέγεται ελεύθερα από το φυσικό πρόσωπο ή από Μητρώο προμηθευτών/παρόχων που έχει καταρτιστεί και τηρείται με ευθύνη του φορέα υλοποίησης. </w:t>
      </w:r>
      <w:r w:rsidR="00305C12" w:rsidRPr="007E61ED">
        <w:rPr>
          <w:rFonts w:eastAsia="Arial" w:cstheme="minorHAnsi"/>
          <w:color w:val="000000"/>
          <w:lang w:val="el-GR" w:eastAsia="el-GR"/>
        </w:rPr>
        <w:t>Επισημαίνεται ότι στην περίπτωση τέτοιων έργων</w:t>
      </w:r>
      <w:r w:rsidR="00FF6B8C" w:rsidRPr="007E61ED">
        <w:rPr>
          <w:rFonts w:eastAsia="Arial" w:cstheme="minorHAnsi"/>
          <w:color w:val="000000"/>
          <w:lang w:val="el-GR" w:eastAsia="el-GR"/>
        </w:rPr>
        <w:t>, τελικός αποδέκτης κονδυλίων θεωρείται το φυσικό πρόσωπο και όχι ο προμηθευτής/πάροχος</w:t>
      </w:r>
      <w:r w:rsidR="00CE2F40" w:rsidRPr="007F5D18">
        <w:rPr>
          <w:rFonts w:eastAsia="Arial" w:cstheme="minorHAnsi"/>
          <w:color w:val="000000"/>
          <w:lang w:val="el-GR" w:eastAsia="el-GR"/>
        </w:rPr>
        <w:t>,</w:t>
      </w:r>
      <w:r w:rsidR="00FF6B8C" w:rsidRPr="007E61ED">
        <w:rPr>
          <w:rFonts w:eastAsia="Arial" w:cstheme="minorHAnsi"/>
          <w:color w:val="000000"/>
          <w:lang w:val="el-GR" w:eastAsia="el-GR"/>
        </w:rPr>
        <w:t xml:space="preserve"> ακόμα κι αν </w:t>
      </w:r>
      <w:r w:rsidR="00CE2F40">
        <w:rPr>
          <w:rFonts w:eastAsia="Arial" w:cstheme="minorHAnsi"/>
          <w:color w:val="000000"/>
          <w:lang w:val="el-GR" w:eastAsia="el-GR"/>
        </w:rPr>
        <w:t>όπως</w:t>
      </w:r>
      <w:r w:rsidR="00FF6B8C" w:rsidRPr="007E61ED">
        <w:rPr>
          <w:rFonts w:eastAsia="Arial" w:cstheme="minorHAnsi"/>
          <w:color w:val="000000"/>
          <w:lang w:val="el-GR" w:eastAsia="el-GR"/>
        </w:rPr>
        <w:t xml:space="preserve"> συμπεριλαμβάνεται σε Μητρώο Παρόχων.</w:t>
      </w:r>
    </w:p>
    <w:p w:rsidR="00CE2F40" w:rsidRPr="007F5D18" w:rsidRDefault="00A1358E" w:rsidP="00741821">
      <w:pPr>
        <w:spacing w:after="120" w:line="276" w:lineRule="auto"/>
        <w:ind w:left="-4" w:hanging="10"/>
        <w:jc w:val="both"/>
        <w:rPr>
          <w:rFonts w:eastAsia="Arial" w:cstheme="minorHAnsi"/>
          <w:color w:val="000000"/>
          <w:kern w:val="0"/>
          <w:lang w:eastAsia="el-GR"/>
        </w:rPr>
      </w:pPr>
      <w:r>
        <w:rPr>
          <w:rFonts w:eastAsia="Arial" w:cstheme="minorHAnsi"/>
          <w:color w:val="000000"/>
          <w:kern w:val="0"/>
          <w:lang w:eastAsia="el-GR"/>
        </w:rPr>
        <w:t xml:space="preserve">Οι </w:t>
      </w:r>
      <w:r w:rsidR="00CE2F40">
        <w:rPr>
          <w:rFonts w:eastAsia="Arial" w:cstheme="minorHAnsi"/>
          <w:color w:val="000000"/>
          <w:kern w:val="0"/>
          <w:lang w:eastAsia="el-GR"/>
        </w:rPr>
        <w:t xml:space="preserve">κατευθύνσεις </w:t>
      </w:r>
      <w:r>
        <w:rPr>
          <w:rFonts w:eastAsia="Arial" w:cstheme="minorHAnsi"/>
          <w:color w:val="000000"/>
          <w:kern w:val="0"/>
          <w:lang w:eastAsia="el-GR"/>
        </w:rPr>
        <w:t xml:space="preserve">για την αποτύπωση </w:t>
      </w:r>
      <w:r w:rsidR="00471C98" w:rsidRPr="00471C98">
        <w:rPr>
          <w:rFonts w:eastAsia="Arial" w:cstheme="minorHAnsi"/>
          <w:color w:val="000000"/>
          <w:kern w:val="0"/>
          <w:lang w:eastAsia="el-GR"/>
        </w:rPr>
        <w:t>στο ΟΠΣ ΤΑΑ τ</w:t>
      </w:r>
      <w:r w:rsidR="00743F29">
        <w:rPr>
          <w:rFonts w:eastAsia="Arial" w:cstheme="minorHAnsi"/>
          <w:color w:val="000000"/>
          <w:kern w:val="0"/>
          <w:lang w:eastAsia="el-GR"/>
        </w:rPr>
        <w:t>ων</w:t>
      </w:r>
      <w:r w:rsidR="00471C98" w:rsidRPr="00471C98">
        <w:rPr>
          <w:rFonts w:eastAsia="Arial" w:cstheme="minorHAnsi"/>
          <w:color w:val="000000"/>
          <w:kern w:val="0"/>
          <w:lang w:eastAsia="el-GR"/>
        </w:rPr>
        <w:t xml:space="preserve"> δεδομ</w:t>
      </w:r>
      <w:r w:rsidR="00CE2F40">
        <w:rPr>
          <w:rFonts w:eastAsia="Arial" w:cstheme="minorHAnsi"/>
          <w:color w:val="000000"/>
          <w:kern w:val="0"/>
          <w:lang w:eastAsia="el-GR"/>
        </w:rPr>
        <w:t>ένω</w:t>
      </w:r>
      <w:r w:rsidR="00743F29">
        <w:rPr>
          <w:rFonts w:eastAsia="Arial" w:cstheme="minorHAnsi"/>
          <w:color w:val="000000"/>
          <w:kern w:val="0"/>
          <w:lang w:eastAsia="el-GR"/>
        </w:rPr>
        <w:t>ν</w:t>
      </w:r>
      <w:r w:rsidR="00471C98" w:rsidRPr="00471C98">
        <w:rPr>
          <w:rFonts w:eastAsia="Arial" w:cstheme="minorHAnsi"/>
          <w:color w:val="000000"/>
          <w:kern w:val="0"/>
          <w:lang w:eastAsia="el-GR"/>
        </w:rPr>
        <w:t xml:space="preserve"> της ανωτέρω διαδικασίας περιγράφ</w:t>
      </w:r>
      <w:r w:rsidR="00CE2F40">
        <w:rPr>
          <w:rFonts w:eastAsia="Arial" w:cstheme="minorHAnsi"/>
          <w:color w:val="000000"/>
          <w:kern w:val="0"/>
          <w:lang w:eastAsia="el-GR"/>
        </w:rPr>
        <w:t>ονται αναλυτικά</w:t>
      </w:r>
      <w:r w:rsidR="00471C98" w:rsidRPr="00471C98">
        <w:rPr>
          <w:rFonts w:eastAsia="Arial" w:cstheme="minorHAnsi"/>
          <w:color w:val="000000"/>
          <w:kern w:val="0"/>
          <w:lang w:eastAsia="el-GR"/>
        </w:rPr>
        <w:t xml:space="preserve"> στις από 08.11.2023 οδηγίες</w:t>
      </w:r>
      <w:r w:rsidR="00CE2F40" w:rsidRPr="007F5D18">
        <w:rPr>
          <w:rFonts w:eastAsia="Arial" w:cstheme="minorHAnsi"/>
          <w:color w:val="000000"/>
          <w:kern w:val="0"/>
          <w:lang w:eastAsia="el-GR"/>
        </w:rPr>
        <w:t xml:space="preserve"> </w:t>
      </w:r>
      <w:r w:rsidR="007F5D18">
        <w:rPr>
          <w:rFonts w:eastAsia="Arial" w:cstheme="minorHAnsi"/>
          <w:color w:val="000000"/>
          <w:kern w:val="0"/>
          <w:lang w:eastAsia="el-GR"/>
        </w:rPr>
        <w:t>της</w:t>
      </w:r>
      <w:r w:rsidR="00471C98" w:rsidRPr="00471C98">
        <w:rPr>
          <w:rFonts w:eastAsia="Arial" w:cstheme="minorHAnsi"/>
          <w:color w:val="000000"/>
          <w:kern w:val="0"/>
          <w:lang w:eastAsia="el-GR"/>
        </w:rPr>
        <w:t xml:space="preserve"> ΕΥΣΤΑ, όπως κάθε φορά ισχύουν και έχουν αναρτηθεί στ</w:t>
      </w:r>
      <w:r w:rsidR="000A1AE5">
        <w:rPr>
          <w:rFonts w:eastAsia="Arial" w:cstheme="minorHAnsi"/>
          <w:color w:val="000000"/>
          <w:kern w:val="0"/>
          <w:lang w:eastAsia="el-GR"/>
        </w:rPr>
        <w:t>ην ιστοσελίδα του ΤΑΑ</w:t>
      </w:r>
      <w:r w:rsidR="00471C98" w:rsidRPr="00471C98">
        <w:rPr>
          <w:rFonts w:eastAsia="Arial" w:cstheme="minorHAnsi"/>
          <w:color w:val="000000"/>
          <w:kern w:val="0"/>
          <w:lang w:eastAsia="el-GR"/>
        </w:rPr>
        <w:t xml:space="preserve"> </w:t>
      </w:r>
      <w:r w:rsidR="000A1AE5" w:rsidRPr="002726C0">
        <w:rPr>
          <w:rFonts w:eastAsia="Arial" w:cstheme="minorHAnsi"/>
          <w:color w:val="000000"/>
          <w:kern w:val="0"/>
          <w:lang w:eastAsia="el-GR"/>
        </w:rPr>
        <w:t xml:space="preserve"> </w:t>
      </w:r>
      <w:hyperlink r:id="rId13" w:history="1">
        <w:r w:rsidR="00CE2F40" w:rsidRPr="008C7767">
          <w:rPr>
            <w:rStyle w:val="-"/>
            <w:rFonts w:eastAsia="Arial" w:cstheme="minorHAnsi"/>
            <w:kern w:val="0"/>
            <w:lang w:eastAsia="el-GR"/>
          </w:rPr>
          <w:t>https://greece20.gov.gr/oloklirwmeno-pliroforiako-systima/</w:t>
        </w:r>
      </w:hyperlink>
      <w:r w:rsidR="00CE2F40" w:rsidRPr="007F5D18">
        <w:rPr>
          <w:rFonts w:eastAsia="Arial" w:cstheme="minorHAnsi"/>
          <w:color w:val="000000"/>
          <w:kern w:val="0"/>
          <w:lang w:eastAsia="el-GR"/>
        </w:rPr>
        <w:t xml:space="preserve"> .</w:t>
      </w:r>
    </w:p>
    <w:p w:rsidR="00B16532" w:rsidRPr="00B16532" w:rsidRDefault="003B024C" w:rsidP="00B16532">
      <w:pPr>
        <w:keepNext/>
        <w:keepLines/>
        <w:shd w:val="clear" w:color="auto" w:fill="2F5496" w:themeFill="accent1" w:themeFillShade="BF"/>
        <w:spacing w:after="120" w:line="360" w:lineRule="auto"/>
        <w:ind w:left="10" w:hanging="10"/>
        <w:outlineLvl w:val="0"/>
        <w:rPr>
          <w:rFonts w:eastAsia="Georgia" w:cstheme="minorHAnsi"/>
          <w:color w:val="FFFFFF" w:themeColor="background1"/>
          <w:kern w:val="0"/>
          <w:lang w:eastAsia="el-GR"/>
        </w:rPr>
      </w:pPr>
      <w:r>
        <w:rPr>
          <w:rFonts w:eastAsia="Arial" w:cstheme="minorHAnsi"/>
          <w:color w:val="000000"/>
          <w:kern w:val="0"/>
          <w:lang w:eastAsia="el-GR"/>
        </w:rPr>
        <w:t xml:space="preserve"> </w:t>
      </w:r>
      <w:r w:rsidR="002726C0" w:rsidRPr="00CA406B">
        <w:rPr>
          <w:rFonts w:eastAsia="Georgia" w:cstheme="minorHAnsi"/>
          <w:color w:val="FFFFFF" w:themeColor="background1"/>
          <w:kern w:val="0"/>
          <w:lang w:eastAsia="el-GR"/>
        </w:rPr>
        <w:t>2</w:t>
      </w:r>
      <w:r w:rsidR="00B16532" w:rsidRPr="00B16532">
        <w:rPr>
          <w:rFonts w:eastAsia="Georgia" w:cstheme="minorHAnsi"/>
          <w:color w:val="FFFFFF" w:themeColor="background1"/>
          <w:kern w:val="0"/>
          <w:lang w:eastAsia="el-GR"/>
        </w:rPr>
        <w:t xml:space="preserve">. </w:t>
      </w:r>
      <w:r w:rsidR="00FF6B8C">
        <w:rPr>
          <w:rFonts w:eastAsia="Georgia" w:cstheme="minorHAnsi"/>
          <w:color w:val="FFFFFF" w:themeColor="background1"/>
          <w:kern w:val="0"/>
          <w:lang w:eastAsia="el-GR"/>
        </w:rPr>
        <w:t xml:space="preserve">Απαιτήσεις του Συστήματος Διαχείρισης και Ελέγχου </w:t>
      </w:r>
    </w:p>
    <w:p w:rsidR="00BB7FAB" w:rsidRDefault="006C6BD1" w:rsidP="007F5D18">
      <w:pPr>
        <w:spacing w:after="120" w:line="276" w:lineRule="auto"/>
        <w:ind w:left="-4" w:hanging="10"/>
        <w:jc w:val="both"/>
        <w:rPr>
          <w:rFonts w:eastAsia="Arial" w:cstheme="minorHAnsi"/>
          <w:color w:val="000000"/>
          <w:kern w:val="0"/>
          <w:lang w:eastAsia="el-GR"/>
        </w:rPr>
      </w:pPr>
      <w:r>
        <w:rPr>
          <w:rFonts w:eastAsia="Arial" w:cstheme="minorHAnsi"/>
          <w:color w:val="000000"/>
          <w:kern w:val="0"/>
          <w:lang w:eastAsia="el-GR"/>
        </w:rPr>
        <w:t>Σύμφωνα με το Σύστημα Διαχείρισης και Ελέγχου και την εξειδίκευσή του στο Εγχειρίδιο Διαδικασιών του ΤΑΑ,  θα πρέπει να διασφαλίζεται</w:t>
      </w:r>
      <w:r w:rsidR="00FF6B8C">
        <w:rPr>
          <w:rFonts w:eastAsia="Arial" w:cstheme="minorHAnsi"/>
          <w:color w:val="000000"/>
          <w:kern w:val="0"/>
          <w:lang w:eastAsia="el-GR"/>
        </w:rPr>
        <w:t>,</w:t>
      </w:r>
      <w:r>
        <w:rPr>
          <w:rFonts w:eastAsia="Arial" w:cstheme="minorHAnsi"/>
          <w:color w:val="000000"/>
          <w:kern w:val="0"/>
          <w:lang w:eastAsia="el-GR"/>
        </w:rPr>
        <w:t xml:space="preserve"> εκ των προτέρων</w:t>
      </w:r>
      <w:r w:rsidR="00FF6B8C">
        <w:rPr>
          <w:rFonts w:eastAsia="Arial" w:cstheme="minorHAnsi"/>
          <w:color w:val="000000"/>
          <w:kern w:val="0"/>
          <w:lang w:eastAsia="el-GR"/>
        </w:rPr>
        <w:t>,</w:t>
      </w:r>
      <w:r>
        <w:rPr>
          <w:rFonts w:eastAsia="Arial" w:cstheme="minorHAnsi"/>
          <w:color w:val="000000"/>
          <w:kern w:val="0"/>
          <w:lang w:eastAsia="el-GR"/>
        </w:rPr>
        <w:t xml:space="preserve"> </w:t>
      </w:r>
      <w:r w:rsidR="00BB7FAB">
        <w:rPr>
          <w:rFonts w:eastAsia="Arial" w:cstheme="minorHAnsi"/>
          <w:color w:val="000000"/>
          <w:kern w:val="0"/>
          <w:lang w:eastAsia="el-GR"/>
        </w:rPr>
        <w:t>η αποφυγή περιπτώσεων «σοβαρών παρατυπιών», κατά την έννοια του Κανονισμού του ΤΑΑ, ήτοι περιπτώσεων απάτης</w:t>
      </w:r>
      <w:r w:rsidR="00FF6B8C">
        <w:rPr>
          <w:rFonts w:eastAsia="Arial" w:cstheme="minorHAnsi"/>
          <w:color w:val="000000"/>
          <w:kern w:val="0"/>
          <w:lang w:eastAsia="el-GR"/>
        </w:rPr>
        <w:t>/</w:t>
      </w:r>
      <w:r w:rsidR="00BB7FAB">
        <w:rPr>
          <w:rFonts w:eastAsia="Arial" w:cstheme="minorHAnsi"/>
          <w:color w:val="000000"/>
          <w:kern w:val="0"/>
          <w:lang w:eastAsia="el-GR"/>
        </w:rPr>
        <w:t xml:space="preserve">διαφθοράς, σύγκρουσης συμφερόντων, καθώς και περιπτώσεων </w:t>
      </w:r>
      <w:r>
        <w:rPr>
          <w:rFonts w:eastAsia="Arial" w:cstheme="minorHAnsi"/>
          <w:color w:val="000000"/>
          <w:kern w:val="0"/>
          <w:lang w:eastAsia="el-GR"/>
        </w:rPr>
        <w:t>διπλή</w:t>
      </w:r>
      <w:r w:rsidR="00BB7FAB">
        <w:rPr>
          <w:rFonts w:eastAsia="Arial" w:cstheme="minorHAnsi"/>
          <w:color w:val="000000"/>
          <w:kern w:val="0"/>
          <w:lang w:eastAsia="el-GR"/>
        </w:rPr>
        <w:t>ς</w:t>
      </w:r>
      <w:r>
        <w:rPr>
          <w:rFonts w:eastAsia="Arial" w:cstheme="minorHAnsi"/>
          <w:color w:val="000000"/>
          <w:kern w:val="0"/>
          <w:lang w:eastAsia="el-GR"/>
        </w:rPr>
        <w:t xml:space="preserve"> χρηματοδότηση</w:t>
      </w:r>
      <w:r w:rsidR="00BB7FAB">
        <w:rPr>
          <w:rFonts w:eastAsia="Arial" w:cstheme="minorHAnsi"/>
          <w:color w:val="000000"/>
          <w:kern w:val="0"/>
          <w:lang w:eastAsia="el-GR"/>
        </w:rPr>
        <w:t>ς</w:t>
      </w:r>
      <w:r>
        <w:rPr>
          <w:rFonts w:eastAsia="Arial" w:cstheme="minorHAnsi"/>
          <w:color w:val="000000"/>
          <w:kern w:val="0"/>
          <w:lang w:eastAsia="el-GR"/>
        </w:rPr>
        <w:t xml:space="preserve"> των ίδιων δαπανών από το ΤΑΑ και άλλες πηγές ενωσιακής χρηματοδότησης. </w:t>
      </w:r>
    </w:p>
    <w:p w:rsidR="006C6BD1" w:rsidRDefault="006C6BD1" w:rsidP="007F5D18">
      <w:pPr>
        <w:spacing w:after="120" w:line="276" w:lineRule="auto"/>
        <w:ind w:left="-4" w:hanging="10"/>
        <w:jc w:val="both"/>
        <w:rPr>
          <w:rFonts w:eastAsia="Arial" w:cstheme="minorHAnsi"/>
          <w:color w:val="000000"/>
          <w:kern w:val="0"/>
          <w:lang w:eastAsia="el-GR"/>
        </w:rPr>
      </w:pPr>
      <w:r>
        <w:rPr>
          <w:rFonts w:eastAsia="Arial" w:cstheme="minorHAnsi"/>
          <w:color w:val="000000"/>
          <w:kern w:val="0"/>
          <w:lang w:eastAsia="el-GR"/>
        </w:rPr>
        <w:t xml:space="preserve">Στη Διαδικασία Δ1 του Εγχειριδίου προβλέπεται ότι κατά την ένταξη ενός έργου στο ΕΣΑΑ, </w:t>
      </w:r>
      <w:r w:rsidR="004D0050">
        <w:rPr>
          <w:rFonts w:eastAsia="Arial" w:cstheme="minorHAnsi"/>
          <w:color w:val="000000"/>
          <w:kern w:val="0"/>
          <w:lang w:eastAsia="el-GR"/>
        </w:rPr>
        <w:t>διενεργείται</w:t>
      </w:r>
      <w:r>
        <w:rPr>
          <w:rFonts w:eastAsia="Arial" w:cstheme="minorHAnsi"/>
          <w:color w:val="000000"/>
          <w:kern w:val="0"/>
          <w:lang w:eastAsia="el-GR"/>
        </w:rPr>
        <w:t xml:space="preserve"> σχετικό</w:t>
      </w:r>
      <w:r w:rsidR="004D0050">
        <w:rPr>
          <w:rFonts w:eastAsia="Arial" w:cstheme="minorHAnsi"/>
          <w:color w:val="000000"/>
          <w:kern w:val="0"/>
          <w:lang w:eastAsia="el-GR"/>
        </w:rPr>
        <w:t>ς</w:t>
      </w:r>
      <w:r>
        <w:rPr>
          <w:rFonts w:eastAsia="Arial" w:cstheme="minorHAnsi"/>
          <w:color w:val="000000"/>
          <w:kern w:val="0"/>
          <w:lang w:eastAsia="el-GR"/>
        </w:rPr>
        <w:t xml:space="preserve"> έλεγχο</w:t>
      </w:r>
      <w:r w:rsidR="004D0050">
        <w:rPr>
          <w:rFonts w:eastAsia="Arial" w:cstheme="minorHAnsi"/>
          <w:color w:val="000000"/>
          <w:kern w:val="0"/>
          <w:lang w:eastAsia="el-GR"/>
        </w:rPr>
        <w:t>ς</w:t>
      </w:r>
      <w:r w:rsidR="00DB71E7">
        <w:rPr>
          <w:rFonts w:eastAsia="Arial" w:cstheme="minorHAnsi"/>
          <w:color w:val="000000"/>
          <w:kern w:val="0"/>
          <w:lang w:eastAsia="el-GR"/>
        </w:rPr>
        <w:t xml:space="preserve"> αποφυγής </w:t>
      </w:r>
      <w:r w:rsidR="00967878">
        <w:rPr>
          <w:rFonts w:eastAsia="Arial" w:cstheme="minorHAnsi"/>
          <w:color w:val="000000"/>
          <w:kern w:val="0"/>
          <w:lang w:eastAsia="el-GR"/>
        </w:rPr>
        <w:t>διπλής</w:t>
      </w:r>
      <w:r>
        <w:rPr>
          <w:rFonts w:eastAsia="Arial" w:cstheme="minorHAnsi"/>
          <w:color w:val="000000"/>
          <w:kern w:val="0"/>
          <w:lang w:eastAsia="el-GR"/>
        </w:rPr>
        <w:t xml:space="preserve"> χρηματοδότησης, λαμβάνοντας υπόψη, μεταξύ άλλων, πληροφορίες και δεδομένα που  δηλώνονται στην αίτηση του τελικού αποδέκτη</w:t>
      </w:r>
      <w:r w:rsidR="00201782">
        <w:rPr>
          <w:rFonts w:eastAsia="Arial" w:cstheme="minorHAnsi"/>
          <w:color w:val="000000"/>
          <w:kern w:val="0"/>
          <w:lang w:eastAsia="el-GR"/>
        </w:rPr>
        <w:t>,</w:t>
      </w:r>
      <w:r>
        <w:rPr>
          <w:rFonts w:eastAsia="Arial" w:cstheme="minorHAnsi"/>
          <w:color w:val="000000"/>
          <w:kern w:val="0"/>
          <w:lang w:eastAsia="el-GR"/>
        </w:rPr>
        <w:t xml:space="preserve"> σχετικά με </w:t>
      </w:r>
      <w:r w:rsidR="00201782">
        <w:rPr>
          <w:rFonts w:eastAsia="Arial" w:cstheme="minorHAnsi"/>
          <w:color w:val="000000"/>
          <w:kern w:val="0"/>
          <w:lang w:eastAsia="el-GR"/>
        </w:rPr>
        <w:t>τυχόν συμπληρωματική χρηματοδότηση από άλλο Ταμείο ή Πρόγραμμα της Ένωσης που λαμβάνει ή πρόκειται να λάβει για την εκτέλεση του έργου.</w:t>
      </w:r>
      <w:r w:rsidR="00EF29DE">
        <w:rPr>
          <w:rFonts w:eastAsia="Arial" w:cstheme="minorHAnsi"/>
          <w:color w:val="000000"/>
          <w:kern w:val="0"/>
          <w:lang w:eastAsia="el-GR"/>
        </w:rPr>
        <w:t xml:space="preserve"> </w:t>
      </w:r>
      <w:r>
        <w:rPr>
          <w:rFonts w:eastAsia="Arial" w:cstheme="minorHAnsi"/>
          <w:color w:val="000000"/>
          <w:kern w:val="0"/>
          <w:lang w:eastAsia="el-GR"/>
        </w:rPr>
        <w:t>Δεδομένου ότι</w:t>
      </w:r>
      <w:r w:rsidR="00AD0CC6">
        <w:rPr>
          <w:rFonts w:eastAsia="Arial" w:cstheme="minorHAnsi"/>
          <w:color w:val="000000"/>
          <w:kern w:val="0"/>
          <w:lang w:eastAsia="el-GR"/>
        </w:rPr>
        <w:t xml:space="preserve">, για τις περιπτώσεις έργων </w:t>
      </w:r>
      <w:r>
        <w:rPr>
          <w:rFonts w:eastAsia="Arial" w:cstheme="minorHAnsi"/>
          <w:color w:val="000000"/>
          <w:kern w:val="0"/>
          <w:lang w:eastAsia="el-GR"/>
        </w:rPr>
        <w:t xml:space="preserve"> </w:t>
      </w:r>
      <w:r w:rsidR="00AD0CC6">
        <w:rPr>
          <w:rFonts w:eastAsia="Arial" w:cstheme="minorHAnsi"/>
          <w:color w:val="000000"/>
          <w:kern w:val="0"/>
          <w:lang w:eastAsia="el-GR"/>
        </w:rPr>
        <w:t xml:space="preserve">που θα υλοποιηθούν μέσω πρόσκλησης, </w:t>
      </w:r>
      <w:r>
        <w:rPr>
          <w:rFonts w:eastAsia="Arial" w:cstheme="minorHAnsi"/>
          <w:color w:val="000000"/>
          <w:kern w:val="0"/>
          <w:lang w:eastAsia="el-GR"/>
        </w:rPr>
        <w:t xml:space="preserve">κατά την ένταξη του έργου στο ΕΣΑΑ δεν είναι γνωστά τα επιμέρους έργα που τελικά θα χρηματοδοτηθούν, ο έλεγχος </w:t>
      </w:r>
      <w:r w:rsidR="00AD0CC6">
        <w:rPr>
          <w:rFonts w:eastAsia="Arial" w:cstheme="minorHAnsi"/>
          <w:color w:val="000000"/>
          <w:kern w:val="0"/>
          <w:lang w:eastAsia="el-GR"/>
        </w:rPr>
        <w:t>περί μη διπλής χρηματοδότησης</w:t>
      </w:r>
      <w:r w:rsidR="004D0050">
        <w:rPr>
          <w:rFonts w:eastAsia="Arial" w:cstheme="minorHAnsi"/>
          <w:color w:val="000000"/>
          <w:kern w:val="0"/>
          <w:lang w:eastAsia="el-GR"/>
        </w:rPr>
        <w:t>,</w:t>
      </w:r>
      <w:r>
        <w:rPr>
          <w:rFonts w:eastAsia="Arial" w:cstheme="minorHAnsi"/>
          <w:color w:val="000000"/>
          <w:kern w:val="0"/>
          <w:lang w:eastAsia="el-GR"/>
        </w:rPr>
        <w:t xml:space="preserve"> διενεργείται από το Φορέα Υλοποίησης που εκδίδει την πρόσκληση, κατά τη </w:t>
      </w:r>
      <w:r w:rsidR="00AD0CC6">
        <w:rPr>
          <w:rFonts w:eastAsia="Arial" w:cstheme="minorHAnsi"/>
          <w:color w:val="000000"/>
          <w:kern w:val="0"/>
          <w:lang w:eastAsia="el-GR"/>
        </w:rPr>
        <w:t xml:space="preserve">διαδικασία </w:t>
      </w:r>
      <w:r>
        <w:rPr>
          <w:rFonts w:eastAsia="Arial" w:cstheme="minorHAnsi"/>
          <w:color w:val="000000"/>
          <w:kern w:val="0"/>
          <w:lang w:eastAsia="el-GR"/>
        </w:rPr>
        <w:t xml:space="preserve"> </w:t>
      </w:r>
      <w:r w:rsidR="00AD0CC6">
        <w:rPr>
          <w:rFonts w:eastAsia="Arial" w:cstheme="minorHAnsi"/>
          <w:color w:val="000000"/>
          <w:kern w:val="0"/>
          <w:lang w:eastAsia="el-GR"/>
        </w:rPr>
        <w:t xml:space="preserve">επιλογής </w:t>
      </w:r>
      <w:r>
        <w:rPr>
          <w:rFonts w:eastAsia="Arial" w:cstheme="minorHAnsi"/>
          <w:color w:val="000000"/>
          <w:kern w:val="0"/>
          <w:lang w:eastAsia="el-GR"/>
        </w:rPr>
        <w:t xml:space="preserve">των επιμέρους έργων που έχουν αιτηθεί τη χρηματοδότησή τους από το ΤΑΑ. </w:t>
      </w:r>
    </w:p>
    <w:p w:rsidR="00062075" w:rsidRDefault="00062075" w:rsidP="007F5D18">
      <w:pPr>
        <w:spacing w:after="120" w:line="276" w:lineRule="auto"/>
        <w:ind w:left="-4" w:hanging="10"/>
        <w:jc w:val="both"/>
        <w:rPr>
          <w:rFonts w:eastAsia="Arial" w:cstheme="minorHAnsi"/>
          <w:color w:val="000000"/>
          <w:kern w:val="0"/>
          <w:lang w:eastAsia="el-GR"/>
        </w:rPr>
      </w:pPr>
      <w:r>
        <w:rPr>
          <w:rFonts w:eastAsia="Arial" w:cstheme="minorHAnsi"/>
          <w:color w:val="000000"/>
          <w:kern w:val="0"/>
          <w:lang w:eastAsia="el-GR"/>
        </w:rPr>
        <w:t xml:space="preserve">Κατ΄αναλογία και προκειμένου οι προβλέψεις του συστήματος διαχείρισης και ελέγχου για την παρακολούθηση των έργων που υλοποιούνται μέσω </w:t>
      </w:r>
      <w:r w:rsidR="00967878">
        <w:rPr>
          <w:rFonts w:eastAsia="Arial" w:cstheme="minorHAnsi"/>
          <w:color w:val="000000"/>
          <w:kern w:val="0"/>
          <w:lang w:eastAsia="el-GR"/>
        </w:rPr>
        <w:t>της ανάθεσης</w:t>
      </w:r>
      <w:r>
        <w:rPr>
          <w:rFonts w:eastAsia="Arial" w:cstheme="minorHAnsi"/>
          <w:color w:val="000000"/>
          <w:kern w:val="0"/>
          <w:lang w:eastAsia="el-GR"/>
        </w:rPr>
        <w:t xml:space="preserve"> δημοσίων συμβάσεων να εφαρμόζονται και στις περιπτώσεις </w:t>
      </w:r>
      <w:r w:rsidR="00FF6B8C">
        <w:rPr>
          <w:rFonts w:eastAsia="Arial" w:cstheme="minorHAnsi"/>
          <w:color w:val="000000"/>
          <w:kern w:val="0"/>
          <w:lang w:eastAsia="el-GR"/>
        </w:rPr>
        <w:t xml:space="preserve">τέτοιων </w:t>
      </w:r>
      <w:r>
        <w:rPr>
          <w:rFonts w:eastAsia="Arial" w:cstheme="minorHAnsi"/>
          <w:color w:val="000000"/>
          <w:kern w:val="0"/>
          <w:lang w:eastAsia="el-GR"/>
        </w:rPr>
        <w:t xml:space="preserve">έργων που επιλέγονται για χρηματοδότηση </w:t>
      </w:r>
      <w:r w:rsidR="00967878">
        <w:rPr>
          <w:rFonts w:eastAsia="Arial" w:cstheme="minorHAnsi"/>
          <w:color w:val="000000"/>
          <w:kern w:val="0"/>
          <w:lang w:eastAsia="el-GR"/>
        </w:rPr>
        <w:t>μετά την υποβολή προτάσεων στο πλαίσιο</w:t>
      </w:r>
      <w:r>
        <w:rPr>
          <w:rFonts w:eastAsia="Arial" w:cstheme="minorHAnsi"/>
          <w:color w:val="000000"/>
          <w:kern w:val="0"/>
          <w:lang w:eastAsia="el-GR"/>
        </w:rPr>
        <w:t xml:space="preserve"> πρόσκλησης</w:t>
      </w:r>
      <w:r w:rsidR="00967878">
        <w:rPr>
          <w:rFonts w:eastAsia="Arial" w:cstheme="minorHAnsi"/>
          <w:color w:val="000000"/>
          <w:kern w:val="0"/>
          <w:lang w:eastAsia="el-GR"/>
        </w:rPr>
        <w:t xml:space="preserve"> </w:t>
      </w:r>
      <w:r>
        <w:rPr>
          <w:rFonts w:eastAsia="Arial" w:cstheme="minorHAnsi"/>
          <w:color w:val="000000"/>
          <w:kern w:val="0"/>
          <w:lang w:eastAsia="el-GR"/>
        </w:rPr>
        <w:t>ο Φορέας Υλοποίησης υποχρεούται να λαμβάνει μέτρα και να εφαρμόζει διαδικασίες για τ</w:t>
      </w:r>
      <w:r w:rsidR="005154D2">
        <w:rPr>
          <w:rFonts w:eastAsia="Arial" w:cstheme="minorHAnsi"/>
          <w:color w:val="000000"/>
          <w:kern w:val="0"/>
          <w:lang w:eastAsia="el-GR"/>
        </w:rPr>
        <w:t xml:space="preserve">ον εκ των προτέρων έλεγχο </w:t>
      </w:r>
      <w:r w:rsidR="00AD0CC6">
        <w:rPr>
          <w:rFonts w:eastAsia="Arial" w:cstheme="minorHAnsi"/>
          <w:color w:val="000000"/>
          <w:kern w:val="0"/>
          <w:lang w:eastAsia="el-GR"/>
        </w:rPr>
        <w:t xml:space="preserve">α) </w:t>
      </w:r>
      <w:r w:rsidR="005154D2">
        <w:rPr>
          <w:rFonts w:eastAsia="Arial" w:cstheme="minorHAnsi"/>
          <w:color w:val="000000"/>
          <w:kern w:val="0"/>
          <w:lang w:eastAsia="el-GR"/>
        </w:rPr>
        <w:t xml:space="preserve">της νομιμότητας της ανάθεσης των δημοσίων συμβάσεων από τους τελικούς αποδέκτες/αναθέτουσες αρχές και </w:t>
      </w:r>
      <w:r w:rsidR="00967878">
        <w:rPr>
          <w:rFonts w:eastAsia="Arial" w:cstheme="minorHAnsi"/>
          <w:color w:val="000000"/>
          <w:kern w:val="0"/>
          <w:lang w:eastAsia="el-GR"/>
        </w:rPr>
        <w:t xml:space="preserve">β) </w:t>
      </w:r>
      <w:r w:rsidR="00AD0CC6">
        <w:rPr>
          <w:rFonts w:eastAsia="Arial" w:cstheme="minorHAnsi"/>
          <w:color w:val="000000"/>
          <w:kern w:val="0"/>
          <w:lang w:eastAsia="el-GR"/>
        </w:rPr>
        <w:t xml:space="preserve">της μη συνδρομής σύγκρουσης συμφερόντων </w:t>
      </w:r>
      <w:r w:rsidR="005154D2">
        <w:rPr>
          <w:rFonts w:eastAsia="Arial" w:cstheme="minorHAnsi"/>
          <w:color w:val="000000"/>
          <w:kern w:val="0"/>
          <w:lang w:eastAsia="el-GR"/>
        </w:rPr>
        <w:t xml:space="preserve"> κατά τη διαδικασία της ανάθεσης</w:t>
      </w:r>
      <w:r w:rsidR="00AD0CC6">
        <w:rPr>
          <w:rFonts w:eastAsia="Arial" w:cstheme="minorHAnsi"/>
          <w:color w:val="000000"/>
          <w:kern w:val="0"/>
          <w:lang w:eastAsia="el-GR"/>
        </w:rPr>
        <w:t>.</w:t>
      </w:r>
      <w:r w:rsidR="005154D2">
        <w:rPr>
          <w:rFonts w:eastAsia="Arial" w:cstheme="minorHAnsi"/>
          <w:color w:val="000000"/>
          <w:kern w:val="0"/>
          <w:lang w:eastAsia="el-GR"/>
        </w:rPr>
        <w:t xml:space="preserve"> </w:t>
      </w:r>
    </w:p>
    <w:p w:rsidR="00B159D6" w:rsidRPr="00B16532" w:rsidRDefault="00B159D6" w:rsidP="007F5D18">
      <w:pPr>
        <w:spacing w:after="120" w:line="276" w:lineRule="auto"/>
        <w:ind w:left="-4" w:hanging="10"/>
        <w:jc w:val="both"/>
        <w:rPr>
          <w:rFonts w:eastAsia="Arial" w:cstheme="minorHAnsi"/>
          <w:color w:val="000000"/>
          <w:kern w:val="0"/>
          <w:lang w:eastAsia="el-GR"/>
        </w:rPr>
      </w:pPr>
      <w:r w:rsidRPr="00B16532">
        <w:rPr>
          <w:rFonts w:eastAsia="Arial" w:cstheme="minorHAnsi"/>
          <w:color w:val="000000"/>
          <w:kern w:val="0"/>
          <w:lang w:eastAsia="el-GR"/>
        </w:rPr>
        <w:t xml:space="preserve">Οι οδηγίες που διατυπώνονται στις ενότητες που ακολουθούν αφορούν </w:t>
      </w:r>
      <w:r>
        <w:rPr>
          <w:rFonts w:eastAsia="Arial" w:cstheme="minorHAnsi"/>
          <w:color w:val="000000"/>
          <w:kern w:val="0"/>
          <w:lang w:eastAsia="el-GR"/>
        </w:rPr>
        <w:t>στις ενέργειες και διαδικασίες που θα πρέπει να υιοθετηθούν από τους Φορείς Υλοποίησης έργων που υλοποιούνται μέσω πρόσκλησης προς τελικούς αποδέκτες, λαμβάνοντας υπόψη τα προβλεπόμενα στις σχετικές διαδικασίες του Εγχειριδίου Διαδικασιών του ΤΑΑ και ιδίως σε ότι αφορά:</w:t>
      </w:r>
    </w:p>
    <w:p w:rsidR="00B159D6" w:rsidRPr="006C6BD1" w:rsidRDefault="00B159D6" w:rsidP="007F5D18">
      <w:pPr>
        <w:numPr>
          <w:ilvl w:val="0"/>
          <w:numId w:val="1"/>
        </w:numPr>
        <w:spacing w:after="120" w:line="276" w:lineRule="auto"/>
        <w:ind w:left="360" w:right="1"/>
        <w:contextualSpacing/>
        <w:jc w:val="both"/>
        <w:rPr>
          <w:rFonts w:eastAsia="Arial" w:cstheme="minorHAnsi"/>
          <w:color w:val="000000"/>
          <w:kern w:val="0"/>
          <w:lang w:eastAsia="el-GR"/>
        </w:rPr>
      </w:pPr>
      <w:r w:rsidRPr="006C6BD1">
        <w:rPr>
          <w:rFonts w:eastAsia="Arial" w:cstheme="minorHAnsi"/>
          <w:color w:val="000000"/>
          <w:kern w:val="0"/>
          <w:lang w:eastAsia="el-GR"/>
        </w:rPr>
        <w:t>Διενέργεια ελέγχου για την αποφυγή της διπλής χρηματοδότησης  κατά την επιλογή των αιτήσεων τελικών αποδεκτών για χρηματοδότηση  (Διαδικασία Δ1)</w:t>
      </w:r>
    </w:p>
    <w:p w:rsidR="00B159D6" w:rsidRPr="008950F2" w:rsidRDefault="00B159D6" w:rsidP="007F5D18">
      <w:pPr>
        <w:numPr>
          <w:ilvl w:val="0"/>
          <w:numId w:val="1"/>
        </w:numPr>
        <w:spacing w:after="120" w:line="276" w:lineRule="auto"/>
        <w:ind w:left="360" w:right="1"/>
        <w:contextualSpacing/>
        <w:jc w:val="both"/>
        <w:rPr>
          <w:rFonts w:eastAsia="Arial" w:cstheme="minorHAnsi"/>
          <w:color w:val="000000"/>
          <w:kern w:val="0"/>
          <w:lang w:eastAsia="el-GR"/>
        </w:rPr>
      </w:pPr>
      <w:r>
        <w:rPr>
          <w:rFonts w:eastAsia="Arial" w:cstheme="minorHAnsi"/>
          <w:color w:val="000000"/>
          <w:kern w:val="0"/>
          <w:lang w:eastAsia="el-GR"/>
        </w:rPr>
        <w:t>Δι</w:t>
      </w:r>
      <w:r w:rsidRPr="008950F2">
        <w:rPr>
          <w:rFonts w:eastAsia="Arial" w:cstheme="minorHAnsi"/>
          <w:color w:val="000000"/>
          <w:kern w:val="0"/>
          <w:lang w:eastAsia="el-GR"/>
        </w:rPr>
        <w:t xml:space="preserve">ενέργεια </w:t>
      </w:r>
      <w:r w:rsidRPr="008950F2">
        <w:rPr>
          <w:rFonts w:eastAsia="Arial" w:cstheme="minorHAnsi"/>
          <w:color w:val="000000"/>
          <w:kern w:val="0"/>
          <w:lang w:val="en-US" w:eastAsia="el-GR"/>
        </w:rPr>
        <w:t>ex</w:t>
      </w:r>
      <w:r>
        <w:rPr>
          <w:rFonts w:eastAsia="Arial" w:cstheme="minorHAnsi"/>
          <w:color w:val="000000"/>
          <w:kern w:val="0"/>
          <w:lang w:eastAsia="el-GR"/>
        </w:rPr>
        <w:t>-</w:t>
      </w:r>
      <w:r w:rsidRPr="008950F2">
        <w:rPr>
          <w:rFonts w:eastAsia="Arial" w:cstheme="minorHAnsi"/>
          <w:color w:val="000000"/>
          <w:kern w:val="0"/>
          <w:lang w:val="en-US" w:eastAsia="el-GR"/>
        </w:rPr>
        <w:t>ante</w:t>
      </w:r>
      <w:r w:rsidRPr="008950F2">
        <w:rPr>
          <w:rFonts w:eastAsia="Arial" w:cstheme="minorHAnsi"/>
          <w:color w:val="000000"/>
          <w:kern w:val="0"/>
          <w:lang w:eastAsia="el-GR"/>
        </w:rPr>
        <w:t xml:space="preserve"> ελέγχου τη</w:t>
      </w:r>
      <w:r>
        <w:rPr>
          <w:rFonts w:eastAsia="Arial" w:cstheme="minorHAnsi"/>
          <w:color w:val="000000"/>
          <w:kern w:val="0"/>
          <w:lang w:eastAsia="el-GR"/>
        </w:rPr>
        <w:t>ς</w:t>
      </w:r>
      <w:r w:rsidRPr="008950F2">
        <w:rPr>
          <w:rFonts w:eastAsia="Arial" w:cstheme="minorHAnsi"/>
          <w:color w:val="000000"/>
          <w:kern w:val="0"/>
          <w:lang w:eastAsia="el-GR"/>
        </w:rPr>
        <w:t xml:space="preserve"> νομιμότητα</w:t>
      </w:r>
      <w:r>
        <w:rPr>
          <w:rFonts w:eastAsia="Arial" w:cstheme="minorHAnsi"/>
          <w:color w:val="000000"/>
          <w:kern w:val="0"/>
          <w:lang w:eastAsia="el-GR"/>
        </w:rPr>
        <w:t>ς</w:t>
      </w:r>
      <w:r w:rsidRPr="008950F2">
        <w:rPr>
          <w:rFonts w:eastAsia="Arial" w:cstheme="minorHAnsi"/>
          <w:color w:val="000000"/>
          <w:kern w:val="0"/>
          <w:lang w:eastAsia="el-GR"/>
        </w:rPr>
        <w:t xml:space="preserve"> της διαδικασίας ανάθεσης των δημοσίων συμβάσεων  από τους τελικούς αποδέκτες</w:t>
      </w:r>
      <w:r>
        <w:rPr>
          <w:rFonts w:eastAsia="Arial" w:cstheme="minorHAnsi"/>
          <w:color w:val="000000"/>
          <w:kern w:val="0"/>
          <w:lang w:eastAsia="el-GR"/>
        </w:rPr>
        <w:t xml:space="preserve"> (Διαδικασία Δ5)</w:t>
      </w:r>
    </w:p>
    <w:p w:rsidR="00B159D6" w:rsidRPr="00B16532" w:rsidRDefault="00B159D6" w:rsidP="007F5D18">
      <w:pPr>
        <w:numPr>
          <w:ilvl w:val="0"/>
          <w:numId w:val="1"/>
        </w:numPr>
        <w:spacing w:after="120" w:line="276" w:lineRule="auto"/>
        <w:ind w:left="360" w:right="1"/>
        <w:contextualSpacing/>
        <w:jc w:val="both"/>
        <w:rPr>
          <w:rFonts w:eastAsia="Arial" w:cstheme="minorHAnsi"/>
          <w:color w:val="000000"/>
          <w:kern w:val="0"/>
          <w:lang w:eastAsia="el-GR"/>
        </w:rPr>
      </w:pPr>
      <w:r w:rsidRPr="00B16532">
        <w:rPr>
          <w:rFonts w:eastAsia="Arial" w:cstheme="minorHAnsi"/>
          <w:color w:val="000000"/>
          <w:kern w:val="0"/>
          <w:lang w:eastAsia="el-GR"/>
        </w:rPr>
        <w:t xml:space="preserve">Διενέργεια </w:t>
      </w:r>
      <w:r>
        <w:rPr>
          <w:rFonts w:eastAsia="Arial" w:cstheme="minorHAnsi"/>
          <w:color w:val="000000"/>
          <w:kern w:val="0"/>
          <w:lang w:val="en-US" w:eastAsia="el-GR"/>
        </w:rPr>
        <w:t>ex</w:t>
      </w:r>
      <w:r>
        <w:rPr>
          <w:rFonts w:eastAsia="Arial" w:cstheme="minorHAnsi"/>
          <w:color w:val="000000"/>
          <w:kern w:val="0"/>
          <w:lang w:eastAsia="el-GR"/>
        </w:rPr>
        <w:t>-</w:t>
      </w:r>
      <w:r>
        <w:rPr>
          <w:rFonts w:eastAsia="Arial" w:cstheme="minorHAnsi"/>
          <w:color w:val="000000"/>
          <w:kern w:val="0"/>
          <w:lang w:val="en-US" w:eastAsia="el-GR"/>
        </w:rPr>
        <w:t>ante</w:t>
      </w:r>
      <w:r w:rsidRPr="00B24ACC">
        <w:rPr>
          <w:rFonts w:eastAsia="Arial" w:cstheme="minorHAnsi"/>
          <w:color w:val="000000"/>
          <w:kern w:val="0"/>
          <w:lang w:eastAsia="el-GR"/>
        </w:rPr>
        <w:t xml:space="preserve"> </w:t>
      </w:r>
      <w:r>
        <w:rPr>
          <w:rFonts w:eastAsia="Arial" w:cstheme="minorHAnsi"/>
          <w:color w:val="000000"/>
          <w:kern w:val="0"/>
          <w:lang w:eastAsia="el-GR"/>
        </w:rPr>
        <w:t>ελέγχου για την αποφυγή σύγκρουσης συμφερόντων κατά την διαδικασία σύναψης  των συμβάσεων από τους τελικούς αποδέκτες (Διαδικασίες Δ10 και Δ20)</w:t>
      </w:r>
    </w:p>
    <w:p w:rsidR="00B159D6" w:rsidRDefault="00B159D6">
      <w:pPr>
        <w:rPr>
          <w:rFonts w:eastAsia="Arial" w:cstheme="minorHAnsi"/>
          <w:color w:val="FFFFFF" w:themeColor="background1"/>
          <w:kern w:val="0"/>
          <w:lang w:eastAsia="el-GR"/>
        </w:rPr>
      </w:pPr>
    </w:p>
    <w:p w:rsidR="006C68DA" w:rsidRPr="0081225A" w:rsidRDefault="006C68DA" w:rsidP="006C68DA">
      <w:pPr>
        <w:keepNext/>
        <w:keepLines/>
        <w:shd w:val="clear" w:color="auto" w:fill="2F5496" w:themeFill="accent1" w:themeFillShade="BF"/>
        <w:spacing w:after="120" w:line="360" w:lineRule="auto"/>
        <w:ind w:left="10" w:hanging="10"/>
        <w:outlineLvl w:val="0"/>
        <w:rPr>
          <w:rFonts w:eastAsia="Georgia" w:cstheme="minorHAnsi"/>
          <w:color w:val="FFFFFF" w:themeColor="background1"/>
          <w:kern w:val="0"/>
          <w:lang w:eastAsia="el-GR"/>
        </w:rPr>
      </w:pPr>
      <w:r w:rsidRPr="0081225A">
        <w:rPr>
          <w:rFonts w:eastAsia="Georgia" w:cstheme="minorHAnsi"/>
          <w:color w:val="FFFFFF" w:themeColor="background1"/>
          <w:kern w:val="0"/>
          <w:lang w:eastAsia="el-GR"/>
        </w:rPr>
        <w:t>3. Διενέργεια εργασιών εκ των προτέρων επαλήθευσης από τον Φορέα Υλοποίησης</w:t>
      </w:r>
    </w:p>
    <w:p w:rsidR="006C68DA" w:rsidRPr="007E61ED" w:rsidRDefault="006C68DA" w:rsidP="00465360">
      <w:pPr>
        <w:spacing w:after="120" w:line="276" w:lineRule="auto"/>
        <w:ind w:left="-4" w:hanging="10"/>
        <w:jc w:val="both"/>
        <w:rPr>
          <w:rFonts w:eastAsia="Georgia" w:cstheme="minorHAnsi"/>
          <w:color w:val="0070C0"/>
          <w:kern w:val="0"/>
          <w:lang w:eastAsia="el-GR"/>
        </w:rPr>
      </w:pPr>
      <w:r w:rsidRPr="007E61ED">
        <w:rPr>
          <w:rFonts w:eastAsia="Georgia" w:cstheme="minorHAnsi"/>
          <w:color w:val="0070C0"/>
          <w:kern w:val="0"/>
          <w:lang w:eastAsia="el-GR"/>
        </w:rPr>
        <w:t>Α. Τελικοί Αποδέκτες-Αναθέτουσες Αρχές</w:t>
      </w:r>
    </w:p>
    <w:p w:rsidR="00057DD5" w:rsidRPr="00CF5B1F" w:rsidRDefault="00057DD5" w:rsidP="00465360">
      <w:pPr>
        <w:spacing w:after="120" w:line="276" w:lineRule="auto"/>
        <w:ind w:left="10" w:right="1" w:hanging="10"/>
        <w:jc w:val="both"/>
        <w:rPr>
          <w:rFonts w:eastAsia="Times New Roman" w:cstheme="minorHAnsi"/>
          <w:color w:val="0070C0"/>
          <w:lang w:eastAsia="en-GB"/>
        </w:rPr>
      </w:pPr>
      <w:r w:rsidRPr="00CF5B1F">
        <w:rPr>
          <w:rFonts w:eastAsia="Georgia" w:cstheme="minorHAnsi"/>
          <w:color w:val="0070C0"/>
          <w:kern w:val="0"/>
          <w:lang w:eastAsia="el-GR"/>
        </w:rPr>
        <w:t xml:space="preserve">3.1 Διενέργεια ελέγχου των αιτήσεων </w:t>
      </w:r>
      <w:r w:rsidR="0015556B">
        <w:rPr>
          <w:rFonts w:eastAsia="Georgia" w:cstheme="minorHAnsi"/>
          <w:color w:val="0070C0"/>
          <w:kern w:val="0"/>
          <w:lang w:eastAsia="el-GR"/>
        </w:rPr>
        <w:t>ένταξης/</w:t>
      </w:r>
      <w:r w:rsidRPr="00CF5B1F">
        <w:rPr>
          <w:rFonts w:eastAsia="Georgia" w:cstheme="minorHAnsi"/>
          <w:color w:val="0070C0"/>
          <w:kern w:val="0"/>
          <w:lang w:eastAsia="el-GR"/>
        </w:rPr>
        <w:t>υπαγωγής για την αποφυγή διπλής χρηματοδότησης</w:t>
      </w:r>
    </w:p>
    <w:p w:rsidR="00934ADD" w:rsidRDefault="00784C40" w:rsidP="00465360">
      <w:pPr>
        <w:spacing w:after="120" w:line="276" w:lineRule="auto"/>
        <w:ind w:left="10" w:right="1" w:hanging="10"/>
        <w:jc w:val="both"/>
        <w:rPr>
          <w:rFonts w:eastAsia="Times New Roman" w:cstheme="minorHAnsi"/>
          <w:lang w:eastAsia="en-GB"/>
        </w:rPr>
      </w:pPr>
      <w:r w:rsidRPr="00F15477">
        <w:rPr>
          <w:rFonts w:eastAsia="Times New Roman" w:cstheme="minorHAnsi"/>
          <w:lang w:eastAsia="en-GB"/>
        </w:rPr>
        <w:t xml:space="preserve">Για την </w:t>
      </w:r>
      <w:r w:rsidR="0015556B">
        <w:rPr>
          <w:rFonts w:eastAsia="Times New Roman" w:cstheme="minorHAnsi"/>
          <w:lang w:eastAsia="en-GB"/>
        </w:rPr>
        <w:t>ένταξη/</w:t>
      </w:r>
      <w:r w:rsidR="00BB5A3A">
        <w:rPr>
          <w:rFonts w:eastAsia="Times New Roman" w:cstheme="minorHAnsi"/>
          <w:lang w:eastAsia="en-GB"/>
        </w:rPr>
        <w:t xml:space="preserve">υπαγωγή/ </w:t>
      </w:r>
      <w:r w:rsidRPr="00F15477">
        <w:rPr>
          <w:rFonts w:eastAsia="Times New Roman" w:cstheme="minorHAnsi"/>
          <w:lang w:eastAsia="en-GB"/>
        </w:rPr>
        <w:t xml:space="preserve">των </w:t>
      </w:r>
      <w:r w:rsidR="00DD51C2">
        <w:rPr>
          <w:rFonts w:eastAsia="Times New Roman" w:cstheme="minorHAnsi"/>
          <w:lang w:eastAsia="en-GB"/>
        </w:rPr>
        <w:t>έργων</w:t>
      </w:r>
      <w:r w:rsidR="00486C6F">
        <w:rPr>
          <w:rFonts w:eastAsia="Times New Roman" w:cstheme="minorHAnsi"/>
          <w:lang w:eastAsia="en-GB"/>
        </w:rPr>
        <w:t xml:space="preserve"> </w:t>
      </w:r>
      <w:r w:rsidRPr="00F15477">
        <w:rPr>
          <w:rFonts w:eastAsia="Times New Roman" w:cstheme="minorHAnsi"/>
          <w:lang w:eastAsia="en-GB"/>
        </w:rPr>
        <w:t xml:space="preserve">στο ΤΑΑ, </w:t>
      </w:r>
      <w:r w:rsidR="00572CA8" w:rsidRPr="00F15477">
        <w:rPr>
          <w:rFonts w:eastAsia="Times New Roman" w:cstheme="minorHAnsi"/>
          <w:lang w:eastAsia="en-GB"/>
        </w:rPr>
        <w:t xml:space="preserve">μέσω Πρόσκλησης, </w:t>
      </w:r>
      <w:r w:rsidR="00807579">
        <w:rPr>
          <w:rFonts w:eastAsia="Times New Roman" w:cstheme="minorHAnsi"/>
          <w:lang w:eastAsia="en-GB"/>
        </w:rPr>
        <w:t>οι δυνητικοί τελικοί αποδέκτες/ αναθέτουσες αρχές</w:t>
      </w:r>
      <w:r w:rsidR="00807579" w:rsidRPr="00F15477">
        <w:rPr>
          <w:rFonts w:eastAsia="Times New Roman" w:cstheme="minorHAnsi"/>
          <w:lang w:eastAsia="en-GB"/>
        </w:rPr>
        <w:t xml:space="preserve"> </w:t>
      </w:r>
      <w:r w:rsidRPr="00F15477">
        <w:rPr>
          <w:rFonts w:eastAsia="Times New Roman" w:cstheme="minorHAnsi"/>
          <w:lang w:eastAsia="en-GB"/>
        </w:rPr>
        <w:t>υποβάλλο</w:t>
      </w:r>
      <w:r w:rsidR="00807579">
        <w:rPr>
          <w:rFonts w:eastAsia="Times New Roman" w:cstheme="minorHAnsi"/>
          <w:lang w:eastAsia="en-GB"/>
        </w:rPr>
        <w:t>υν</w:t>
      </w:r>
      <w:r w:rsidR="00932D34" w:rsidRPr="00F15477">
        <w:rPr>
          <w:rFonts w:eastAsia="Times New Roman" w:cstheme="minorHAnsi"/>
          <w:lang w:eastAsia="en-GB"/>
        </w:rPr>
        <w:t xml:space="preserve"> </w:t>
      </w:r>
      <w:r w:rsidR="003B024C">
        <w:rPr>
          <w:rFonts w:eastAsia="Times New Roman" w:cstheme="minorHAnsi"/>
          <w:lang w:eastAsia="en-GB"/>
        </w:rPr>
        <w:t>/</w:t>
      </w:r>
      <w:r w:rsidR="00932D34" w:rsidRPr="00F15477">
        <w:rPr>
          <w:rFonts w:eastAsia="Times New Roman" w:cstheme="minorHAnsi"/>
          <w:lang w:eastAsia="en-GB"/>
        </w:rPr>
        <w:t xml:space="preserve"> </w:t>
      </w:r>
      <w:r w:rsidR="00B47754" w:rsidRPr="00F15477">
        <w:rPr>
          <w:rFonts w:eastAsia="Times New Roman" w:cstheme="minorHAnsi"/>
          <w:lang w:eastAsia="en-GB"/>
        </w:rPr>
        <w:t xml:space="preserve">αιτήσεις </w:t>
      </w:r>
      <w:r w:rsidR="003B024C">
        <w:rPr>
          <w:rFonts w:eastAsia="Times New Roman" w:cstheme="minorHAnsi"/>
          <w:lang w:eastAsia="en-GB"/>
        </w:rPr>
        <w:t xml:space="preserve">χρηματοδότησης </w:t>
      </w:r>
      <w:r w:rsidRPr="00F15477">
        <w:rPr>
          <w:rFonts w:eastAsia="Times New Roman" w:cstheme="minorHAnsi"/>
          <w:lang w:eastAsia="en-GB"/>
        </w:rPr>
        <w:t xml:space="preserve">προς έγκριση </w:t>
      </w:r>
      <w:r w:rsidR="003B024C">
        <w:rPr>
          <w:rFonts w:eastAsia="Times New Roman" w:cstheme="minorHAnsi"/>
          <w:lang w:eastAsia="en-GB"/>
        </w:rPr>
        <w:t xml:space="preserve">από τον </w:t>
      </w:r>
      <w:r w:rsidRPr="00F15477">
        <w:rPr>
          <w:rFonts w:eastAsia="Times New Roman" w:cstheme="minorHAnsi"/>
          <w:lang w:eastAsia="en-GB"/>
        </w:rPr>
        <w:t>Φορ</w:t>
      </w:r>
      <w:r w:rsidR="00B47754" w:rsidRPr="00F15477">
        <w:rPr>
          <w:rFonts w:eastAsia="Times New Roman" w:cstheme="minorHAnsi"/>
          <w:lang w:eastAsia="en-GB"/>
        </w:rPr>
        <w:t>έα Υ</w:t>
      </w:r>
      <w:r w:rsidRPr="00F15477">
        <w:rPr>
          <w:rFonts w:eastAsia="Times New Roman" w:cstheme="minorHAnsi"/>
          <w:lang w:eastAsia="en-GB"/>
        </w:rPr>
        <w:t>λοποίησης</w:t>
      </w:r>
      <w:r w:rsidR="00AC09F8">
        <w:rPr>
          <w:rFonts w:eastAsia="Times New Roman" w:cstheme="minorHAnsi"/>
          <w:lang w:eastAsia="en-GB"/>
        </w:rPr>
        <w:t>.</w:t>
      </w:r>
      <w:r w:rsidRPr="00F15477">
        <w:rPr>
          <w:rFonts w:eastAsia="Times New Roman" w:cstheme="minorHAnsi"/>
          <w:lang w:eastAsia="en-GB"/>
        </w:rPr>
        <w:t xml:space="preserve"> Κατά την εν λόγω διαδικασία, </w:t>
      </w:r>
      <w:r w:rsidR="00807579">
        <w:rPr>
          <w:rFonts w:eastAsia="Times New Roman" w:cstheme="minorHAnsi"/>
          <w:lang w:eastAsia="en-GB"/>
        </w:rPr>
        <w:t>ο</w:t>
      </w:r>
      <w:r w:rsidR="00807579" w:rsidRPr="00F15477">
        <w:rPr>
          <w:rFonts w:eastAsia="Times New Roman" w:cstheme="minorHAnsi"/>
          <w:lang w:eastAsia="en-GB"/>
        </w:rPr>
        <w:t xml:space="preserve"> </w:t>
      </w:r>
      <w:r w:rsidR="003A231A" w:rsidRPr="00F15477">
        <w:rPr>
          <w:rFonts w:eastAsia="Times New Roman" w:cstheme="minorHAnsi"/>
          <w:lang w:eastAsia="en-GB"/>
        </w:rPr>
        <w:t>Φορέα</w:t>
      </w:r>
      <w:r w:rsidR="00807579">
        <w:rPr>
          <w:rFonts w:eastAsia="Times New Roman" w:cstheme="minorHAnsi"/>
          <w:lang w:eastAsia="en-GB"/>
        </w:rPr>
        <w:t>ς</w:t>
      </w:r>
      <w:r w:rsidR="003A231A" w:rsidRPr="00F15477">
        <w:rPr>
          <w:rFonts w:eastAsia="Times New Roman" w:cstheme="minorHAnsi"/>
          <w:lang w:eastAsia="en-GB"/>
        </w:rPr>
        <w:t xml:space="preserve"> Υλοποίησης</w:t>
      </w:r>
      <w:r w:rsidRPr="00F15477">
        <w:rPr>
          <w:rFonts w:eastAsia="Times New Roman" w:cstheme="minorHAnsi"/>
          <w:lang w:eastAsia="en-GB"/>
        </w:rPr>
        <w:t xml:space="preserve"> </w:t>
      </w:r>
      <w:r w:rsidR="00807579">
        <w:rPr>
          <w:rFonts w:eastAsia="Times New Roman" w:cstheme="minorHAnsi"/>
          <w:lang w:eastAsia="en-GB"/>
        </w:rPr>
        <w:t xml:space="preserve">ελέγχει </w:t>
      </w:r>
      <w:r w:rsidR="00877B94">
        <w:rPr>
          <w:rFonts w:eastAsia="Times New Roman" w:cstheme="minorHAnsi"/>
          <w:lang w:eastAsia="en-GB"/>
        </w:rPr>
        <w:t>την</w:t>
      </w:r>
      <w:r w:rsidRPr="00F15477">
        <w:rPr>
          <w:rFonts w:eastAsia="Times New Roman" w:cstheme="minorHAnsi"/>
          <w:lang w:eastAsia="en-GB"/>
        </w:rPr>
        <w:t xml:space="preserve"> συμβατότητα του </w:t>
      </w:r>
      <w:r w:rsidR="003B024C">
        <w:rPr>
          <w:rFonts w:eastAsia="Times New Roman" w:cstheme="minorHAnsi"/>
          <w:lang w:eastAsia="en-GB"/>
        </w:rPr>
        <w:t xml:space="preserve">προτεινόμενου </w:t>
      </w:r>
      <w:r w:rsidRPr="00F15477">
        <w:rPr>
          <w:rFonts w:eastAsia="Times New Roman" w:cstheme="minorHAnsi"/>
          <w:lang w:eastAsia="en-GB"/>
        </w:rPr>
        <w:t>έργου με</w:t>
      </w:r>
      <w:r w:rsidR="00D31DD8" w:rsidRPr="00F15477">
        <w:rPr>
          <w:rFonts w:eastAsia="Times New Roman" w:cstheme="minorHAnsi"/>
          <w:lang w:eastAsia="en-GB"/>
        </w:rPr>
        <w:t xml:space="preserve"> τα προβλεπόμενα σ</w:t>
      </w:r>
      <w:r w:rsidRPr="00F15477">
        <w:rPr>
          <w:rFonts w:eastAsia="Times New Roman" w:cstheme="minorHAnsi"/>
          <w:lang w:eastAsia="en-GB"/>
        </w:rPr>
        <w:t xml:space="preserve">την </w:t>
      </w:r>
      <w:r w:rsidR="00D31DD8" w:rsidRPr="00F15477">
        <w:rPr>
          <w:rFonts w:eastAsia="Times New Roman" w:cstheme="minorHAnsi"/>
          <w:lang w:eastAsia="en-GB"/>
        </w:rPr>
        <w:t>Πρόσκληση</w:t>
      </w:r>
      <w:r w:rsidRPr="00F15477">
        <w:rPr>
          <w:rFonts w:eastAsia="Times New Roman" w:cstheme="minorHAnsi"/>
          <w:lang w:eastAsia="en-GB"/>
        </w:rPr>
        <w:t xml:space="preserve"> </w:t>
      </w:r>
      <w:r w:rsidR="003B024C">
        <w:rPr>
          <w:rFonts w:eastAsia="Times New Roman" w:cstheme="minorHAnsi"/>
          <w:lang w:eastAsia="en-GB"/>
        </w:rPr>
        <w:t>και επιβεβαιώνε</w:t>
      </w:r>
      <w:r w:rsidR="00807579">
        <w:rPr>
          <w:rFonts w:eastAsia="Times New Roman" w:cstheme="minorHAnsi"/>
          <w:lang w:eastAsia="en-GB"/>
        </w:rPr>
        <w:t>ι.</w:t>
      </w:r>
      <w:r w:rsidR="003B024C">
        <w:rPr>
          <w:rFonts w:eastAsia="Times New Roman" w:cstheme="minorHAnsi"/>
          <w:lang w:eastAsia="en-GB"/>
        </w:rPr>
        <w:t xml:space="preserve"> μέσω διασταυρωτικών ελέγχων</w:t>
      </w:r>
      <w:r w:rsidR="00807579">
        <w:rPr>
          <w:rFonts w:eastAsia="Times New Roman" w:cstheme="minorHAnsi"/>
          <w:lang w:eastAsia="en-GB"/>
        </w:rPr>
        <w:t>,</w:t>
      </w:r>
      <w:r w:rsidR="003B024C">
        <w:rPr>
          <w:rFonts w:eastAsia="Times New Roman" w:cstheme="minorHAnsi"/>
          <w:lang w:eastAsia="en-GB"/>
        </w:rPr>
        <w:t xml:space="preserve"> ότι δεν υφίσταται χρηματοδότηση του συνόλου ή μέρους του προτεινόμενου έργου από άλλα Ταμεία ή Προγράμματα της Ένωσης (διπλή χρηματοδότηση). </w:t>
      </w:r>
    </w:p>
    <w:p w:rsidR="00934ADD" w:rsidRDefault="003B024C" w:rsidP="00465360">
      <w:pPr>
        <w:spacing w:after="120" w:line="276" w:lineRule="auto"/>
        <w:ind w:left="10" w:right="1" w:hanging="10"/>
        <w:jc w:val="both"/>
        <w:rPr>
          <w:rFonts w:eastAsia="Times New Roman" w:cstheme="minorHAnsi"/>
          <w:lang w:eastAsia="en-GB"/>
        </w:rPr>
      </w:pPr>
      <w:r>
        <w:rPr>
          <w:rFonts w:eastAsia="Times New Roman" w:cstheme="minorHAnsi"/>
          <w:lang w:eastAsia="en-GB"/>
        </w:rPr>
        <w:t xml:space="preserve">Προς διευκόλυνση του ελέγχου, ο Φορέας Υλοποίησης δύναται να ζητά από τον αιτούντα τελικό αποδέκτη ενημέρωση σχετικά με παρόμοια έργα ή άλλα τμήματα του προτεινόμενου έργου που έχει υλοποιήσει, υλοποιεί ή σχεδιάζει να υλοποιήσει </w:t>
      </w:r>
      <w:r w:rsidR="00B4639D">
        <w:rPr>
          <w:rFonts w:eastAsia="Times New Roman" w:cstheme="minorHAnsi"/>
          <w:lang w:eastAsia="en-GB"/>
        </w:rPr>
        <w:t>με χρηματοδότηση από άλλ</w:t>
      </w:r>
      <w:r w:rsidR="00807579">
        <w:rPr>
          <w:rFonts w:eastAsia="Times New Roman" w:cstheme="minorHAnsi"/>
          <w:lang w:eastAsia="en-GB"/>
        </w:rPr>
        <w:t>α</w:t>
      </w:r>
      <w:r w:rsidR="005753C7">
        <w:rPr>
          <w:rFonts w:eastAsia="Times New Roman" w:cstheme="minorHAnsi"/>
          <w:lang w:eastAsia="en-GB"/>
        </w:rPr>
        <w:t xml:space="preserve"> </w:t>
      </w:r>
      <w:r w:rsidR="00807579">
        <w:rPr>
          <w:rFonts w:eastAsia="Times New Roman" w:cstheme="minorHAnsi"/>
          <w:lang w:eastAsia="en-GB"/>
        </w:rPr>
        <w:t>ταμεία ή προγράμματα της Ένωσης</w:t>
      </w:r>
      <w:r w:rsidR="00BB5A3A" w:rsidRPr="00BB5A3A">
        <w:rPr>
          <w:rFonts w:eastAsia="Times New Roman" w:cstheme="minorHAnsi"/>
          <w:lang w:eastAsia="en-GB"/>
        </w:rPr>
        <w:t>,</w:t>
      </w:r>
      <w:r w:rsidR="00B4639D">
        <w:rPr>
          <w:rFonts w:eastAsia="Times New Roman" w:cstheme="minorHAnsi"/>
          <w:lang w:eastAsia="en-GB"/>
        </w:rPr>
        <w:t xml:space="preserve"> </w:t>
      </w:r>
      <w:r w:rsidR="00AC09F8">
        <w:rPr>
          <w:rFonts w:eastAsia="Times New Roman" w:cstheme="minorHAnsi"/>
          <w:lang w:eastAsia="en-GB"/>
        </w:rPr>
        <w:t>συνοδευόμενη από</w:t>
      </w:r>
      <w:r w:rsidR="00B4639D">
        <w:rPr>
          <w:rFonts w:eastAsia="Times New Roman" w:cstheme="minorHAnsi"/>
          <w:lang w:eastAsia="en-GB"/>
        </w:rPr>
        <w:t xml:space="preserve"> τεκμηρίωση της μη διπλής χρηματοδότησης μεταξύ αυτών και του προτεινόμενου </w:t>
      </w:r>
      <w:r w:rsidR="00AC09F8">
        <w:rPr>
          <w:rFonts w:eastAsia="Times New Roman" w:cstheme="minorHAnsi"/>
          <w:lang w:eastAsia="en-GB"/>
        </w:rPr>
        <w:t xml:space="preserve">για χρηματοδότηση </w:t>
      </w:r>
      <w:r w:rsidR="00B4639D">
        <w:rPr>
          <w:rFonts w:eastAsia="Times New Roman" w:cstheme="minorHAnsi"/>
          <w:lang w:eastAsia="en-GB"/>
        </w:rPr>
        <w:t>έργου.</w:t>
      </w:r>
    </w:p>
    <w:p w:rsidR="002A1038" w:rsidRDefault="00B4639D" w:rsidP="00465360">
      <w:pPr>
        <w:spacing w:after="120" w:line="276" w:lineRule="auto"/>
        <w:ind w:left="10" w:right="1" w:hanging="10"/>
        <w:jc w:val="both"/>
        <w:rPr>
          <w:rFonts w:eastAsia="Times New Roman" w:cstheme="minorHAnsi"/>
          <w:lang w:eastAsia="en-GB"/>
        </w:rPr>
      </w:pPr>
      <w:r>
        <w:rPr>
          <w:rFonts w:eastAsia="Times New Roman" w:cstheme="minorHAnsi"/>
          <w:lang w:eastAsia="en-GB"/>
        </w:rPr>
        <w:t xml:space="preserve">Ο έλεγχος </w:t>
      </w:r>
      <w:r w:rsidR="007E61ED">
        <w:rPr>
          <w:rFonts w:eastAsia="Times New Roman" w:cstheme="minorHAnsi"/>
          <w:lang w:eastAsia="en-GB"/>
        </w:rPr>
        <w:t>διενεργείται λαμβάνοντας υπόψη τις σχετικές κατευθυντήριες οδηγίες της Επιτροπής</w:t>
      </w:r>
      <w:r w:rsidR="00CE2F40" w:rsidRPr="007F5D18">
        <w:rPr>
          <w:rFonts w:eastAsia="Times New Roman" w:cstheme="minorHAnsi"/>
          <w:lang w:eastAsia="en-GB"/>
        </w:rPr>
        <w:t xml:space="preserve"> </w:t>
      </w:r>
      <w:r w:rsidR="00CE2F40">
        <w:rPr>
          <w:rFonts w:eastAsia="Times New Roman" w:cstheme="minorHAnsi"/>
          <w:lang w:eastAsia="en-GB"/>
        </w:rPr>
        <w:t>(</w:t>
      </w:r>
      <w:hyperlink r:id="rId14" w:history="1">
        <w:r w:rsidR="00CE2F40" w:rsidRPr="00135EE8">
          <w:rPr>
            <w:rStyle w:val="-"/>
            <w:rFonts w:eastAsia="Times New Roman" w:cstheme="minorHAnsi"/>
            <w:lang w:eastAsia="en-GB"/>
          </w:rPr>
          <w:t>https://greece20.gov.gr/thesmiko-plaisio/</w:t>
        </w:r>
      </w:hyperlink>
      <w:r w:rsidR="00CE2F40">
        <w:rPr>
          <w:rFonts w:eastAsia="Times New Roman" w:cstheme="minorHAnsi"/>
          <w:lang w:eastAsia="en-GB"/>
        </w:rPr>
        <w:t xml:space="preserve">, </w:t>
      </w:r>
      <w:r w:rsidR="00CE2F40" w:rsidRPr="00F53399">
        <w:rPr>
          <w:rFonts w:eastAsia="Times New Roman" w:cstheme="minorHAnsi"/>
          <w:lang w:eastAsia="en-GB"/>
        </w:rPr>
        <w:t>Double funding under the Recovery and Resilience Facility</w:t>
      </w:r>
      <w:r w:rsidR="00CE2F40">
        <w:rPr>
          <w:rFonts w:eastAsia="Times New Roman" w:cstheme="minorHAnsi"/>
          <w:lang w:eastAsia="en-GB"/>
        </w:rPr>
        <w:t>)</w:t>
      </w:r>
      <w:r w:rsidR="00CE2F40" w:rsidRPr="00F26576">
        <w:rPr>
          <w:rFonts w:eastAsia="Times New Roman" w:cstheme="minorHAnsi"/>
          <w:lang w:eastAsia="en-GB"/>
        </w:rPr>
        <w:t>,</w:t>
      </w:r>
      <w:r w:rsidR="0046669A">
        <w:rPr>
          <w:rFonts w:eastAsia="Times New Roman" w:cstheme="minorHAnsi"/>
          <w:lang w:eastAsia="en-GB"/>
        </w:rPr>
        <w:t xml:space="preserve"> </w:t>
      </w:r>
      <w:r w:rsidR="007E61ED">
        <w:rPr>
          <w:rFonts w:eastAsia="Times New Roman" w:cstheme="minorHAnsi"/>
          <w:lang w:eastAsia="en-GB"/>
        </w:rPr>
        <w:t>καθώς και περαιτέρω οδηγίες της ΕΥΣΤΑ</w:t>
      </w:r>
      <w:r w:rsidR="00CE2F40" w:rsidRPr="007F5D18">
        <w:rPr>
          <w:rFonts w:eastAsia="Times New Roman" w:cstheme="minorHAnsi"/>
          <w:lang w:eastAsia="en-GB"/>
        </w:rPr>
        <w:t>.</w:t>
      </w:r>
      <w:r w:rsidR="005753C7">
        <w:rPr>
          <w:rFonts w:eastAsia="Times New Roman" w:cstheme="minorHAnsi"/>
          <w:lang w:eastAsia="en-GB"/>
        </w:rPr>
        <w:t xml:space="preserve"> </w:t>
      </w:r>
      <w:r w:rsidR="007E61ED">
        <w:rPr>
          <w:rFonts w:eastAsia="Times New Roman" w:cstheme="minorHAnsi"/>
          <w:lang w:eastAsia="en-GB"/>
        </w:rPr>
        <w:t>Τ</w:t>
      </w:r>
      <w:r w:rsidR="00807579">
        <w:rPr>
          <w:rFonts w:eastAsia="Times New Roman" w:cstheme="minorHAnsi"/>
          <w:lang w:eastAsia="en-GB"/>
        </w:rPr>
        <w:t xml:space="preserve">εκμηριώνεται </w:t>
      </w:r>
      <w:r w:rsidR="007E61ED">
        <w:rPr>
          <w:rFonts w:eastAsia="Times New Roman" w:cstheme="minorHAnsi"/>
          <w:lang w:eastAsia="en-GB"/>
        </w:rPr>
        <w:t xml:space="preserve">δε </w:t>
      </w:r>
      <w:r w:rsidR="00807579">
        <w:rPr>
          <w:rFonts w:eastAsia="Times New Roman" w:cstheme="minorHAnsi"/>
          <w:lang w:eastAsia="en-GB"/>
        </w:rPr>
        <w:t xml:space="preserve">επαρκώς σε αρχεία που τηρούνται στο φάκελο του Έργου, τα οποία είναι διαθέσιμα προς επίδειξη σε οποιοδήποτε έλεγχο αρμόδιου εθνικού ή ενωσιακού οργάνου. </w:t>
      </w:r>
      <w:r>
        <w:rPr>
          <w:rFonts w:eastAsia="Times New Roman" w:cstheme="minorHAnsi"/>
          <w:lang w:eastAsia="en-GB"/>
        </w:rPr>
        <w:t xml:space="preserve"> </w:t>
      </w:r>
    </w:p>
    <w:p w:rsidR="00CF5B1F" w:rsidRPr="00CF5B1F" w:rsidRDefault="00CF5B1F" w:rsidP="00465360">
      <w:pPr>
        <w:spacing w:after="120" w:line="276" w:lineRule="auto"/>
        <w:ind w:left="10" w:right="1" w:hanging="10"/>
        <w:jc w:val="both"/>
        <w:rPr>
          <w:rFonts w:eastAsia="Georgia" w:cstheme="minorHAnsi"/>
          <w:color w:val="0070C0"/>
          <w:kern w:val="0"/>
          <w:lang w:eastAsia="el-GR"/>
        </w:rPr>
      </w:pPr>
      <w:r>
        <w:rPr>
          <w:rFonts w:eastAsia="Georgia" w:cstheme="minorHAnsi"/>
          <w:color w:val="0070C0"/>
          <w:kern w:val="0"/>
          <w:lang w:eastAsia="el-GR"/>
        </w:rPr>
        <w:t xml:space="preserve">3.2 </w:t>
      </w:r>
      <w:r w:rsidRPr="00CF5B1F">
        <w:rPr>
          <w:rFonts w:eastAsia="Georgia" w:cstheme="minorHAnsi"/>
          <w:color w:val="0070C0"/>
          <w:kern w:val="0"/>
          <w:lang w:eastAsia="el-GR"/>
        </w:rPr>
        <w:t>Διενέργεια ex-ante ελέγχου νομιμότητα</w:t>
      </w:r>
      <w:r w:rsidR="00FB29CA">
        <w:rPr>
          <w:rFonts w:eastAsia="Georgia" w:cstheme="minorHAnsi"/>
          <w:color w:val="0070C0"/>
          <w:kern w:val="0"/>
          <w:lang w:eastAsia="el-GR"/>
        </w:rPr>
        <w:t>ς</w:t>
      </w:r>
      <w:r w:rsidRPr="00CF5B1F">
        <w:rPr>
          <w:rFonts w:eastAsia="Georgia" w:cstheme="minorHAnsi"/>
          <w:color w:val="0070C0"/>
          <w:kern w:val="0"/>
          <w:lang w:eastAsia="el-GR"/>
        </w:rPr>
        <w:t xml:space="preserve"> της διαδικασίας σύναψης δημοσίων συμβάσεων</w:t>
      </w:r>
    </w:p>
    <w:p w:rsidR="00B74540" w:rsidRDefault="00B74540" w:rsidP="007F5D18">
      <w:pPr>
        <w:spacing w:after="120" w:line="276" w:lineRule="auto"/>
        <w:jc w:val="both"/>
      </w:pPr>
      <w:r>
        <w:t xml:space="preserve">Προκειμένου να διασφαλίζεται η συμμόρφωση </w:t>
      </w:r>
      <w:r w:rsidR="006C6BD1">
        <w:t>των έργων που χρηματοδοτούνται από το ΤΑΑ με το ενωσιακό και εθνικό δίκαιο και ιδίως τ</w:t>
      </w:r>
      <w:r w:rsidR="00AC09F8">
        <w:t>ων</w:t>
      </w:r>
      <w:r w:rsidR="006C6BD1">
        <w:t xml:space="preserve"> έργ</w:t>
      </w:r>
      <w:r w:rsidR="00AC09F8">
        <w:t>ων</w:t>
      </w:r>
      <w:r w:rsidR="006C6BD1">
        <w:t xml:space="preserve"> που υλοποιούνται μέσω δημοσίων συμβάσεων, </w:t>
      </w:r>
      <w:r w:rsidR="00AC09F8">
        <w:t>ο Φορέας Υλοποίησης διενεργεί εκ των προτέρων ελέγχους της νομιμότητας των διαδικασιών ανάθεσης που έχουν ακολουθηθεί από τον τελικό αποδέκτη/αναθέτουσα αρχή. Σύμφωνα με τις προβλέψεις του συστήματος</w:t>
      </w:r>
      <w:r w:rsidR="009022D0">
        <w:t>,</w:t>
      </w:r>
      <w:r w:rsidR="00AC09F8">
        <w:t xml:space="preserve"> ο έλεγχος αυτός περιορίζεται στις συμβάσεις άνω των ορίων των κοινοτικών οδηγιών</w:t>
      </w:r>
      <w:r w:rsidR="009022D0">
        <w:t>.</w:t>
      </w:r>
      <w:r w:rsidR="00AC09F8">
        <w:t xml:space="preserve"> </w:t>
      </w:r>
      <w:r w:rsidR="009022D0">
        <w:t>Γ</w:t>
      </w:r>
      <w:r w:rsidR="00AC09F8">
        <w:t xml:space="preserve">ια τη συγκεκριμένη περίπτωση έργων και για λόγους επιτάχυνσης των διαδικασιών που είναι κρίσιμης σημασίας για το ΕΣΑΑ, </w:t>
      </w:r>
      <w:r w:rsidR="00206F88">
        <w:t xml:space="preserve">διενεργείται </w:t>
      </w:r>
      <w:r w:rsidR="00AC09F8">
        <w:t xml:space="preserve">στο  στάδιο προ της σύναψης της σύμβασης. Επισημαίνεται ωστόσο ότι το εύρος του ελέγχου </w:t>
      </w:r>
      <w:r w:rsidR="00B12C05">
        <w:t>εκτείνεται α</w:t>
      </w:r>
      <w:r w:rsidR="00AC09F8">
        <w:t xml:space="preserve">πό </w:t>
      </w:r>
      <w:r w:rsidR="00B12C05">
        <w:t>την έναρξη της</w:t>
      </w:r>
      <w:r w:rsidR="00AC09F8">
        <w:t xml:space="preserve"> </w:t>
      </w:r>
      <w:r w:rsidR="00AE3C87">
        <w:t xml:space="preserve">διαδικασίας ανάθεσης δημόσιας σύμβασης </w:t>
      </w:r>
      <w:r w:rsidR="0015556B">
        <w:t xml:space="preserve">(διακήρυξη ή πρόσκληση) </w:t>
      </w:r>
      <w:r w:rsidR="00AC09F8">
        <w:t xml:space="preserve">έως και το στάδιο προ </w:t>
      </w:r>
      <w:r w:rsidR="00E91464">
        <w:t xml:space="preserve">της σύναψης </w:t>
      </w:r>
      <w:r w:rsidR="00801044">
        <w:t xml:space="preserve">αυτής </w:t>
      </w:r>
      <w:r w:rsidR="00E91464">
        <w:t xml:space="preserve">και </w:t>
      </w:r>
      <w:r w:rsidR="00197048">
        <w:t xml:space="preserve">σε κάθε περίπτωση </w:t>
      </w:r>
      <w:r w:rsidR="00801044">
        <w:t>μετά τον έλεγχο από το Ελεγκτικό Συνέδριο, εφόσον απαιτείται</w:t>
      </w:r>
      <w:r w:rsidR="00AC09F8">
        <w:t>.</w:t>
      </w:r>
    </w:p>
    <w:p w:rsidR="00C87624" w:rsidRDefault="00C87624" w:rsidP="007F5D18">
      <w:pPr>
        <w:spacing w:after="120" w:line="276" w:lineRule="auto"/>
        <w:jc w:val="both"/>
      </w:pPr>
      <w:r>
        <w:t xml:space="preserve">Για την διενέργεια του ελέγχου νομιμότητας </w:t>
      </w:r>
      <w:r w:rsidR="00801044">
        <w:t xml:space="preserve">της ανάθεσης </w:t>
      </w:r>
      <w:r>
        <w:t xml:space="preserve">δημοσίων συμβάσεων ή και τροποποίησης αυτών, ο τελικός αποδέκτης </w:t>
      </w:r>
      <w:r w:rsidR="005A6C02">
        <w:t xml:space="preserve">(π.χ. Δήμος/Περιφέρεια) </w:t>
      </w:r>
      <w:r>
        <w:t xml:space="preserve">υποβάλλει στον </w:t>
      </w:r>
      <w:r w:rsidR="005A6C02">
        <w:t>φ</w:t>
      </w:r>
      <w:r>
        <w:t xml:space="preserve">ορέα έκδοσης </w:t>
      </w:r>
      <w:r w:rsidR="00801044">
        <w:t>της</w:t>
      </w:r>
      <w:r>
        <w:t xml:space="preserve"> Πρόσκλησης</w:t>
      </w:r>
      <w:r w:rsidR="00BB5A3A">
        <w:t xml:space="preserve"> </w:t>
      </w:r>
      <w:r w:rsidR="0057738A">
        <w:t xml:space="preserve">το </w:t>
      </w:r>
      <w:r w:rsidR="00F755DB">
        <w:t>σύνολο του αναγκαίου τεκμηριωτικού υλικού που αφορά το στάδιο της έγκρισης της διακήρυξης και της διαδικασίας ανάθεσης</w:t>
      </w:r>
      <w:r w:rsidR="0057738A">
        <w:t xml:space="preserve"> σύμβασης</w:t>
      </w:r>
      <w:r w:rsidR="00AC09F8">
        <w:t>,</w:t>
      </w:r>
      <w:r w:rsidR="0057738A">
        <w:t xml:space="preserve"> </w:t>
      </w:r>
      <w:r>
        <w:t>συνοδευόμενο από τα απαραίτητα έγγραφα</w:t>
      </w:r>
      <w:r w:rsidR="00013BE7">
        <w:t>, όπως ορίζονται στ</w:t>
      </w:r>
      <w:r w:rsidR="00F755DB">
        <w:t>ις</w:t>
      </w:r>
      <w:r w:rsidR="00013BE7">
        <w:t xml:space="preserve"> διαδικασί</w:t>
      </w:r>
      <w:r w:rsidR="00F755DB">
        <w:t xml:space="preserve">ες Δ3 και </w:t>
      </w:r>
      <w:r w:rsidR="00013BE7">
        <w:t xml:space="preserve"> Δ5 του </w:t>
      </w:r>
      <w:r w:rsidR="00BB5A3A">
        <w:t>Εγ</w:t>
      </w:r>
      <w:r w:rsidR="00013BE7">
        <w:t xml:space="preserve">χειριδίου </w:t>
      </w:r>
      <w:r w:rsidR="00C3492E">
        <w:t>Δ</w:t>
      </w:r>
      <w:r w:rsidR="00013BE7">
        <w:t xml:space="preserve">ιαδικασιών του </w:t>
      </w:r>
      <w:r w:rsidR="00AF69CD">
        <w:t>ΤΑΑ</w:t>
      </w:r>
      <w:r w:rsidR="00013BE7">
        <w:t>.</w:t>
      </w:r>
    </w:p>
    <w:p w:rsidR="0040583E" w:rsidRDefault="0040583E" w:rsidP="007F5D18">
      <w:pPr>
        <w:spacing w:after="120" w:line="276" w:lineRule="auto"/>
        <w:jc w:val="both"/>
        <w:rPr>
          <w:rFonts w:eastAsiaTheme="minorEastAsia"/>
          <w:kern w:val="0"/>
        </w:rPr>
      </w:pPr>
      <w:r>
        <w:t xml:space="preserve">Ο Φορέας </w:t>
      </w:r>
      <w:r w:rsidR="00487622">
        <w:t xml:space="preserve">έκδοσης της Πρόσκλησης </w:t>
      </w:r>
      <w:r>
        <w:t xml:space="preserve">προβαίνει σε εξέταση </w:t>
      </w:r>
      <w:r w:rsidR="005C7D86">
        <w:t>νομιμότητας της διαδικασίας ανάθεσης</w:t>
      </w:r>
      <w:r>
        <w:t xml:space="preserve"> με βάση το </w:t>
      </w:r>
      <w:r w:rsidR="005C7D86">
        <w:t>εφα</w:t>
      </w:r>
      <w:r w:rsidR="00C3492E">
        <w:t>ρ</w:t>
      </w:r>
      <w:r w:rsidR="005C7D86">
        <w:t xml:space="preserve">μοζόμενο </w:t>
      </w:r>
      <w:r w:rsidR="00801044">
        <w:t xml:space="preserve">θεσμικό </w:t>
      </w:r>
      <w:r>
        <w:t xml:space="preserve">πλαίσιο για τη σύναψη δημοσίων συμβάσεων </w:t>
      </w:r>
      <w:r w:rsidR="006537F1">
        <w:t>και τη</w:t>
      </w:r>
      <w:r w:rsidR="00B12C05">
        <w:t>ν</w:t>
      </w:r>
      <w:r w:rsidR="006537F1">
        <w:t xml:space="preserve"> </w:t>
      </w:r>
      <w:r>
        <w:t xml:space="preserve">απόφαση </w:t>
      </w:r>
      <w:r w:rsidR="00801044">
        <w:t>ένταξης/</w:t>
      </w:r>
      <w:r w:rsidR="00487622">
        <w:t>υπαγωγής</w:t>
      </w:r>
      <w:r>
        <w:t xml:space="preserve"> του έργου</w:t>
      </w:r>
      <w:r w:rsidR="00C3492E">
        <w:t>.</w:t>
      </w:r>
      <w:r>
        <w:t xml:space="preserve"> </w:t>
      </w:r>
      <w:r w:rsidR="005C7D86">
        <w:t>Η σύμβαση δεν δύναται να</w:t>
      </w:r>
      <w:r w:rsidR="0057738A">
        <w:t xml:space="preserve"> συναφθεί πριν την ολοκλήρωση της εξέτασης </w:t>
      </w:r>
      <w:r w:rsidR="006537F1">
        <w:t>από τον Φορέα Υλοποίησης και την ενημέρωση του</w:t>
      </w:r>
      <w:r w:rsidR="005C7D86">
        <w:t xml:space="preserve"> τελικ</w:t>
      </w:r>
      <w:r w:rsidR="006537F1">
        <w:t>ού</w:t>
      </w:r>
      <w:r w:rsidR="005C7D86">
        <w:t xml:space="preserve"> αποδέκτη </w:t>
      </w:r>
      <w:r>
        <w:t xml:space="preserve">για τη </w:t>
      </w:r>
      <w:r w:rsidR="005C7D86">
        <w:t xml:space="preserve">δυνατότητα </w:t>
      </w:r>
      <w:r w:rsidR="00801044">
        <w:t xml:space="preserve">υπογραφής </w:t>
      </w:r>
      <w:r>
        <w:t>της</w:t>
      </w:r>
      <w:r w:rsidR="0057738A">
        <w:t>, μετά από την υιοθέτηση τυχόν παρατηρήσε</w:t>
      </w:r>
      <w:r w:rsidR="006537F1">
        <w:t>ών</w:t>
      </w:r>
      <w:r w:rsidR="0057738A">
        <w:t xml:space="preserve"> </w:t>
      </w:r>
      <w:r w:rsidR="006537F1">
        <w:t>του.</w:t>
      </w:r>
      <w:r w:rsidR="0008362B">
        <w:rPr>
          <w:kern w:val="0"/>
        </w:rPr>
        <w:t xml:space="preserve"> </w:t>
      </w:r>
      <w:r>
        <w:t xml:space="preserve"> Τα αποτελέσματα του ελέγχου αποτυπώνονται </w:t>
      </w:r>
      <w:r w:rsidR="003A3027">
        <w:t>σε</w:t>
      </w:r>
      <w:r>
        <w:t xml:space="preserve"> </w:t>
      </w:r>
      <w:r w:rsidR="003A3027">
        <w:t xml:space="preserve">κατάλληλες </w:t>
      </w:r>
      <w:r w:rsidRPr="003A3027">
        <w:t>Λίστες Ελέγχου</w:t>
      </w:r>
      <w:r w:rsidR="003A3027" w:rsidRPr="003A3027">
        <w:t>,</w:t>
      </w:r>
      <w:r w:rsidR="003A3027">
        <w:t xml:space="preserve"> αντίστοιχες αυτών </w:t>
      </w:r>
      <w:r w:rsidR="006537F1">
        <w:t>τ</w:t>
      </w:r>
      <w:r w:rsidR="00F755DB">
        <w:t xml:space="preserve">ων </w:t>
      </w:r>
      <w:r w:rsidR="006537F1">
        <w:t xml:space="preserve"> Διαδικασ</w:t>
      </w:r>
      <w:r w:rsidR="00F755DB">
        <w:t xml:space="preserve">ιών Δ3 και </w:t>
      </w:r>
      <w:r w:rsidR="006537F1">
        <w:t xml:space="preserve"> Δ5 του Εγχειριδίου Διαδικασιών</w:t>
      </w:r>
      <w:r w:rsidR="00801044">
        <w:t xml:space="preserve"> ΤΑΑ</w:t>
      </w:r>
      <w:r>
        <w:t xml:space="preserve">, </w:t>
      </w:r>
      <w:r w:rsidR="005C7D86">
        <w:t xml:space="preserve">οι οποίες </w:t>
      </w:r>
      <w:r w:rsidR="003A3027">
        <w:t xml:space="preserve">και </w:t>
      </w:r>
      <w:r w:rsidR="005C7D86">
        <w:t>τηρούνται σε αρχείο.</w:t>
      </w:r>
    </w:p>
    <w:p w:rsidR="004A5EF6" w:rsidRDefault="0057738A" w:rsidP="007F5D18">
      <w:pPr>
        <w:spacing w:after="120" w:line="276" w:lineRule="auto"/>
        <w:jc w:val="both"/>
      </w:pPr>
      <w:r>
        <w:t xml:space="preserve">Στην περίπτωση </w:t>
      </w:r>
      <w:r w:rsidR="003A3027">
        <w:t>που κατά τον έλεγχο εντοπίζονται σημεία μη συμμόρφωσης με το εφαρμοζόμενο θεσμικό πλαίσιο, ο Φορέας Υλοποίησης μεριμνά για τη λήψη διορθωτικών μέτρων και ενημερώ</w:t>
      </w:r>
      <w:r>
        <w:t xml:space="preserve">νει </w:t>
      </w:r>
      <w:r w:rsidR="008D022C">
        <w:t xml:space="preserve">σχετικά </w:t>
      </w:r>
      <w:r>
        <w:t>την ΕΥΣΤΑ</w:t>
      </w:r>
      <w:r w:rsidR="003A3027">
        <w:t>.</w:t>
      </w:r>
    </w:p>
    <w:p w:rsidR="0046669A" w:rsidRDefault="0046669A">
      <w:r>
        <w:br w:type="page"/>
      </w:r>
    </w:p>
    <w:p w:rsidR="00FB29CA" w:rsidRPr="00FB29CA" w:rsidRDefault="00FB29CA" w:rsidP="00FB29CA">
      <w:pPr>
        <w:spacing w:after="120" w:line="276" w:lineRule="auto"/>
        <w:ind w:left="10" w:right="1" w:hanging="10"/>
        <w:jc w:val="both"/>
        <w:rPr>
          <w:rFonts w:eastAsia="Georgia" w:cstheme="minorHAnsi"/>
          <w:color w:val="0070C0"/>
          <w:kern w:val="0"/>
          <w:lang w:eastAsia="el-GR"/>
        </w:rPr>
      </w:pPr>
      <w:r>
        <w:rPr>
          <w:rFonts w:eastAsia="Georgia" w:cstheme="minorHAnsi"/>
          <w:color w:val="0070C0"/>
          <w:kern w:val="0"/>
          <w:lang w:eastAsia="el-GR"/>
        </w:rPr>
        <w:t xml:space="preserve">3.3 </w:t>
      </w:r>
      <w:r w:rsidRPr="00FB29CA">
        <w:rPr>
          <w:rFonts w:eastAsia="Georgia" w:cstheme="minorHAnsi"/>
          <w:color w:val="0070C0"/>
          <w:kern w:val="0"/>
          <w:lang w:eastAsia="el-GR"/>
        </w:rPr>
        <w:t>Διενέργεια ex-ante ελέγχου για την αποφυγή σύγκρουσης συμφερόντων κατά τη διαδικασία σύναψης δημοσίων συμβάσεων</w:t>
      </w:r>
    </w:p>
    <w:p w:rsidR="0057738A" w:rsidRDefault="00A5146D" w:rsidP="007F5D18">
      <w:pPr>
        <w:spacing w:after="120" w:line="276" w:lineRule="auto"/>
        <w:jc w:val="both"/>
      </w:pPr>
      <w:r>
        <w:t>Για όλες τις συμβάσεις άνω των ορίων των κοινοτικών οδηγιών</w:t>
      </w:r>
      <w:r w:rsidR="00393246">
        <w:t>,</w:t>
      </w:r>
      <w:r>
        <w:t xml:space="preserve">  </w:t>
      </w:r>
      <w:r w:rsidR="0089449B">
        <w:t xml:space="preserve">στο πλαίσιο του </w:t>
      </w:r>
      <w:r w:rsidR="0089449B" w:rsidRPr="006A73F0">
        <w:t>εκ των προτέρων</w:t>
      </w:r>
      <w:r w:rsidR="0089449B">
        <w:t xml:space="preserve"> </w:t>
      </w:r>
      <w:r w:rsidR="0089449B" w:rsidRPr="006A73F0">
        <w:t xml:space="preserve"> </w:t>
      </w:r>
      <w:r w:rsidR="0089449B">
        <w:t>ελέγχου</w:t>
      </w:r>
      <w:r w:rsidR="0089449B" w:rsidRPr="006A73F0">
        <w:t xml:space="preserve"> </w:t>
      </w:r>
      <w:r w:rsidR="0089449B">
        <w:t>νομιμότητας που προβλέπεται στην ενότητα 3.2 ανωτέρω</w:t>
      </w:r>
      <w:r w:rsidR="0089449B" w:rsidRPr="007F5D18">
        <w:t>,</w:t>
      </w:r>
      <w:r w:rsidR="0089449B" w:rsidRPr="006A73F0">
        <w:t xml:space="preserve"> </w:t>
      </w:r>
      <w:r w:rsidR="006A73F0" w:rsidRPr="006A73F0">
        <w:t>ο Φορέας Υλοποίησης διενεργεί</w:t>
      </w:r>
      <w:r w:rsidR="0089449B">
        <w:t xml:space="preserve"> έλεγχο </w:t>
      </w:r>
      <w:r w:rsidR="00393246">
        <w:t xml:space="preserve">των </w:t>
      </w:r>
      <w:r w:rsidR="00801044">
        <w:t>περί</w:t>
      </w:r>
      <w:r w:rsidR="00801044" w:rsidRPr="006A73F0">
        <w:t xml:space="preserve">  </w:t>
      </w:r>
      <w:r w:rsidR="006A73F0" w:rsidRPr="006A73F0">
        <w:t xml:space="preserve">μη ύπαρξης σύγκρουσης  συμφερόντων κατά τη διαδικασία ανάθεσης, </w:t>
      </w:r>
      <w:r w:rsidR="00AF69CD">
        <w:t xml:space="preserve">κατ’ αναλογία των </w:t>
      </w:r>
      <w:r w:rsidR="006A73F0" w:rsidRPr="006A73F0">
        <w:t>οριζ</w:t>
      </w:r>
      <w:r w:rsidR="00AF69CD">
        <w:t>ομένων</w:t>
      </w:r>
      <w:r w:rsidR="006A73F0" w:rsidRPr="006A73F0">
        <w:t xml:space="preserve"> στη </w:t>
      </w:r>
      <w:r w:rsidR="0057738A" w:rsidRPr="006A73F0">
        <w:t xml:space="preserve">Διαδικασία Δ10 του </w:t>
      </w:r>
      <w:r w:rsidR="006537F1" w:rsidRPr="006A73F0">
        <w:t>Ε</w:t>
      </w:r>
      <w:r w:rsidR="0057738A" w:rsidRPr="006A73F0">
        <w:t xml:space="preserve">γχειριδίου </w:t>
      </w:r>
      <w:r w:rsidR="006537F1" w:rsidRPr="006A73F0">
        <w:t>Δι</w:t>
      </w:r>
      <w:r w:rsidR="0057738A" w:rsidRPr="006A73F0">
        <w:t>αδικασιών του ΤΑΑ</w:t>
      </w:r>
      <w:r w:rsidR="00393246">
        <w:t>.</w:t>
      </w:r>
      <w:r w:rsidR="00393246" w:rsidRPr="006A73F0">
        <w:t xml:space="preserve"> </w:t>
      </w:r>
      <w:r w:rsidR="00231C5E" w:rsidRPr="006A73F0">
        <w:t xml:space="preserve"> </w:t>
      </w:r>
    </w:p>
    <w:p w:rsidR="008F3CEA" w:rsidRDefault="008F3CEA" w:rsidP="007F5D18">
      <w:pPr>
        <w:spacing w:after="120" w:line="276" w:lineRule="auto"/>
        <w:jc w:val="both"/>
      </w:pPr>
      <w:r>
        <w:t>Επιπροσθέτως</w:t>
      </w:r>
      <w:r w:rsidR="00393246">
        <w:t>,</w:t>
      </w:r>
      <w:r>
        <w:t xml:space="preserve"> για τις συμβάσεις κάτω των ορίων των Οδηγιών της Ε.Ε., που δεν </w:t>
      </w:r>
      <w:r w:rsidR="00393246">
        <w:t>εμπίπτουν στον</w:t>
      </w:r>
      <w:r>
        <w:t xml:space="preserve"> </w:t>
      </w:r>
      <w:r w:rsidR="00393246">
        <w:t>έλεγχο</w:t>
      </w:r>
      <w:r>
        <w:t xml:space="preserve"> νομιμότητας</w:t>
      </w:r>
      <w:r w:rsidR="00393246">
        <w:t xml:space="preserve"> της ενότητας 3.2</w:t>
      </w:r>
      <w:r>
        <w:t xml:space="preserve">, ο Φορέας Υλοποίησης μεριμνά για τον </w:t>
      </w:r>
      <w:r w:rsidR="00927425">
        <w:t xml:space="preserve">εκ των προτέρων </w:t>
      </w:r>
      <w:r>
        <w:t xml:space="preserve">έλεγχο </w:t>
      </w:r>
      <w:r w:rsidR="00927425" w:rsidRPr="006A73F0">
        <w:t xml:space="preserve">μη ύπαρξης σύγκρουσης συμφερόντων </w:t>
      </w:r>
      <w:r w:rsidR="00927425">
        <w:t xml:space="preserve">επί </w:t>
      </w:r>
      <w:r>
        <w:t>δείγματος συμβάσεων, το οποίο επιλέγεται βάσ</w:t>
      </w:r>
      <w:r w:rsidR="00927425">
        <w:t>ει</w:t>
      </w:r>
      <w:r>
        <w:t xml:space="preserve"> προσδιορισμένης </w:t>
      </w:r>
      <w:r w:rsidR="0089449B">
        <w:t xml:space="preserve">γενικώς αποδεκτής </w:t>
      </w:r>
      <w:r>
        <w:t>μεθ</w:t>
      </w:r>
      <w:r w:rsidR="009022D0">
        <w:t>όδου επιλογής</w:t>
      </w:r>
      <w:r>
        <w:t xml:space="preserve"> δε</w:t>
      </w:r>
      <w:r w:rsidR="009022D0">
        <w:t>ί</w:t>
      </w:r>
      <w:r>
        <w:t>γματο</w:t>
      </w:r>
      <w:r w:rsidR="009022D0">
        <w:t>ς</w:t>
      </w:r>
      <w:r>
        <w:t xml:space="preserve">. </w:t>
      </w:r>
    </w:p>
    <w:p w:rsidR="00E14848" w:rsidRDefault="006A73F0" w:rsidP="007F5D18">
      <w:pPr>
        <w:spacing w:after="120" w:line="276" w:lineRule="auto"/>
        <w:jc w:val="both"/>
      </w:pPr>
      <w:r>
        <w:t>Για τη διενέργεια του ελέγχου ο</w:t>
      </w:r>
      <w:r w:rsidR="0052438D">
        <w:t xml:space="preserve"> Φορέα</w:t>
      </w:r>
      <w:r w:rsidR="00807579">
        <w:t>ς</w:t>
      </w:r>
      <w:r w:rsidR="0052438D">
        <w:t xml:space="preserve"> Υλοποίησης </w:t>
      </w:r>
      <w:r w:rsidR="00D137BF">
        <w:t xml:space="preserve">εφαρμόζει τα προβλεπόμενα στις </w:t>
      </w:r>
      <w:r>
        <w:t>Διαδικασί</w:t>
      </w:r>
      <w:r w:rsidR="00D137BF">
        <w:t>ες</w:t>
      </w:r>
      <w:r>
        <w:t xml:space="preserve"> Δ10 </w:t>
      </w:r>
      <w:r w:rsidR="00D137BF">
        <w:t xml:space="preserve">και Δ20 </w:t>
      </w:r>
      <w:r>
        <w:t xml:space="preserve">του </w:t>
      </w:r>
      <w:r w:rsidR="0052438D">
        <w:t>Εγχειρ</w:t>
      </w:r>
      <w:r>
        <w:t>ιδίου</w:t>
      </w:r>
      <w:r w:rsidR="0052438D">
        <w:t xml:space="preserve"> Διαδικασιών</w:t>
      </w:r>
      <w:r w:rsidR="00801044">
        <w:t xml:space="preserve"> του ΤΑΑ</w:t>
      </w:r>
      <w:r w:rsidR="0052438D">
        <w:t>.</w:t>
      </w:r>
      <w:r w:rsidR="00D137BF">
        <w:t xml:space="preserve"> Τα αποτελέσματα του ελέγχου αποτυπώνονται σε κατάλληλη </w:t>
      </w:r>
      <w:r w:rsidR="00D137BF" w:rsidRPr="003A3027">
        <w:t>Λίστ</w:t>
      </w:r>
      <w:r w:rsidR="00D137BF">
        <w:t>α</w:t>
      </w:r>
      <w:r w:rsidR="00D137BF" w:rsidRPr="003A3027">
        <w:t xml:space="preserve"> Ελέγχου,</w:t>
      </w:r>
      <w:r w:rsidR="00D137BF">
        <w:t xml:space="preserve"> αντίστοιχη αυτής της Διαδικασίας Δ10 του Εγχειριδίου, η οποία και τηρείται σε αρχείο.</w:t>
      </w:r>
    </w:p>
    <w:p w:rsidR="006C68DA" w:rsidRPr="00161696" w:rsidRDefault="006C68DA" w:rsidP="006C68DA">
      <w:pPr>
        <w:spacing w:after="120" w:line="276" w:lineRule="auto"/>
        <w:ind w:left="-4" w:hanging="10"/>
        <w:jc w:val="both"/>
        <w:rPr>
          <w:rFonts w:eastAsia="Georgia" w:cstheme="minorHAnsi"/>
          <w:color w:val="0070C0"/>
          <w:kern w:val="0"/>
          <w:lang w:eastAsia="el-GR"/>
        </w:rPr>
      </w:pPr>
      <w:r>
        <w:rPr>
          <w:rFonts w:eastAsia="Georgia" w:cstheme="minorHAnsi"/>
          <w:color w:val="0070C0"/>
          <w:kern w:val="0"/>
          <w:lang w:eastAsia="el-GR"/>
        </w:rPr>
        <w:t>Β</w:t>
      </w:r>
      <w:r w:rsidRPr="00161696">
        <w:rPr>
          <w:rFonts w:eastAsia="Georgia" w:cstheme="minorHAnsi"/>
          <w:color w:val="0070C0"/>
          <w:kern w:val="0"/>
          <w:lang w:eastAsia="el-GR"/>
        </w:rPr>
        <w:t xml:space="preserve">. </w:t>
      </w:r>
      <w:r w:rsidR="0081225A">
        <w:rPr>
          <w:rFonts w:eastAsia="Georgia" w:cstheme="minorHAnsi"/>
          <w:color w:val="0070C0"/>
          <w:kern w:val="0"/>
          <w:lang w:eastAsia="el-GR"/>
        </w:rPr>
        <w:t xml:space="preserve">Λοιπές κατηγορίες </w:t>
      </w:r>
      <w:r w:rsidRPr="00161696">
        <w:rPr>
          <w:rFonts w:eastAsia="Georgia" w:cstheme="minorHAnsi"/>
          <w:color w:val="0070C0"/>
          <w:kern w:val="0"/>
          <w:lang w:eastAsia="el-GR"/>
        </w:rPr>
        <w:t>Τελικ</w:t>
      </w:r>
      <w:r w:rsidR="0081225A">
        <w:rPr>
          <w:rFonts w:eastAsia="Georgia" w:cstheme="minorHAnsi"/>
          <w:color w:val="0070C0"/>
          <w:kern w:val="0"/>
          <w:lang w:eastAsia="el-GR"/>
        </w:rPr>
        <w:t>ών</w:t>
      </w:r>
      <w:r w:rsidRPr="00161696">
        <w:rPr>
          <w:rFonts w:eastAsia="Georgia" w:cstheme="minorHAnsi"/>
          <w:color w:val="0070C0"/>
          <w:kern w:val="0"/>
          <w:lang w:eastAsia="el-GR"/>
        </w:rPr>
        <w:t xml:space="preserve"> Αποδ</w:t>
      </w:r>
      <w:r w:rsidR="0081225A">
        <w:rPr>
          <w:rFonts w:eastAsia="Georgia" w:cstheme="minorHAnsi"/>
          <w:color w:val="0070C0"/>
          <w:kern w:val="0"/>
          <w:lang w:eastAsia="el-GR"/>
        </w:rPr>
        <w:t>εκτών</w:t>
      </w:r>
    </w:p>
    <w:p w:rsidR="00FD023D" w:rsidRDefault="005753C7" w:rsidP="007F5D18">
      <w:pPr>
        <w:spacing w:after="120" w:line="276" w:lineRule="auto"/>
        <w:jc w:val="both"/>
      </w:pPr>
      <w:r>
        <w:t xml:space="preserve">Για τις </w:t>
      </w:r>
      <w:r w:rsidR="0092464D">
        <w:t>περιπτώσε</w:t>
      </w:r>
      <w:r w:rsidR="00016E08">
        <w:t xml:space="preserve">ις έργων με τελικούς αποδέκτες </w:t>
      </w:r>
      <w:r w:rsidR="0092464D">
        <w:t xml:space="preserve"> </w:t>
      </w:r>
      <w:r w:rsidR="00016E08">
        <w:t xml:space="preserve">φυσικά πρόσωπα ή επιχειρήσεις ή άλλους φορείς που υλοποιούν τα έργα τους </w:t>
      </w:r>
      <w:r w:rsidR="00FD023D">
        <w:t>με ίδια μέσα και δεν εμπίπτουν στους κανόνες σύναψης δημοσίων συμβάσεων. ο Φορέας Υλοποίησης μεριμνά για τη διασφάλιση της μη διπλής χρηματοδότησης και της μη ύπαρξης σύγκρουσης συμφερόντων</w:t>
      </w:r>
      <w:r>
        <w:t xml:space="preserve">, εφαρμόζοντας αναλογικά τα αναφερόμενα στις παρ. 3.1. και 3.3 </w:t>
      </w:r>
      <w:r w:rsidR="00CE2F40">
        <w:t>ανωτέρω</w:t>
      </w:r>
      <w:r w:rsidR="00FD023D">
        <w:t xml:space="preserve">. </w:t>
      </w:r>
    </w:p>
    <w:p w:rsidR="00FD023D" w:rsidRDefault="005753C7" w:rsidP="007F5D18">
      <w:pPr>
        <w:spacing w:after="120" w:line="276" w:lineRule="auto"/>
        <w:jc w:val="both"/>
      </w:pPr>
      <w:r>
        <w:t xml:space="preserve">Ο έλεγχος </w:t>
      </w:r>
      <w:r w:rsidR="002D0D48">
        <w:t xml:space="preserve">δύναται να </w:t>
      </w:r>
      <w:r>
        <w:t>αφορά σε</w:t>
      </w:r>
      <w:r w:rsidR="002D0D48">
        <w:t xml:space="preserve"> διάφορα στάδια  της υλοποίησης</w:t>
      </w:r>
      <w:r>
        <w:t>.</w:t>
      </w:r>
      <w:r w:rsidR="002D0D48">
        <w:t xml:space="preserve"> </w:t>
      </w:r>
      <w:r>
        <w:t>Επισημαίνεται ότι είναι κ</w:t>
      </w:r>
      <w:r w:rsidR="002D0D48">
        <w:t xml:space="preserve">αίριας σημασίας η λήψη κατάλληλων μέτρων για την πρόληψη </w:t>
      </w:r>
      <w:r>
        <w:t xml:space="preserve">ή και τον έγκαιρο </w:t>
      </w:r>
      <w:r w:rsidR="002D0D48">
        <w:t xml:space="preserve">εντοπισμό </w:t>
      </w:r>
      <w:r>
        <w:t>τυχόν παρατυπιών</w:t>
      </w:r>
      <w:r w:rsidR="0009546E">
        <w:t>,</w:t>
      </w:r>
      <w:r w:rsidR="002D0D48">
        <w:t xml:space="preserve"> κατά τη διαδικασία επιλογής των τελικών αποδεκτών</w:t>
      </w:r>
      <w:r>
        <w:t>. Στα μέτρα περιλαμβάνεται και η</w:t>
      </w:r>
      <w:r w:rsidR="0081225A">
        <w:t xml:space="preserve"> διενέργεια διασταυρωτικών ελέγχων</w:t>
      </w:r>
      <w:r>
        <w:t>, πχ για την επαλήθευση υπεύθυνων δηλώσεων των τελικών αποδεκτών των ενισχύσεων</w:t>
      </w:r>
      <w:r w:rsidR="002D0D48">
        <w:t xml:space="preserve">.   </w:t>
      </w:r>
    </w:p>
    <w:p w:rsidR="0092464D" w:rsidRPr="00FD023D" w:rsidRDefault="005753C7" w:rsidP="007F5D18">
      <w:pPr>
        <w:spacing w:after="120" w:line="276" w:lineRule="auto"/>
        <w:jc w:val="both"/>
        <w:rPr>
          <w:rFonts w:eastAsia="Arial" w:cstheme="minorHAnsi"/>
          <w:color w:val="000000"/>
          <w:kern w:val="0"/>
          <w:lang w:eastAsia="el-GR"/>
        </w:rPr>
      </w:pPr>
      <w:r>
        <w:t>Ως προς τον έλεγχο μη σύγκρουσης συμφερόντων, δ</w:t>
      </w:r>
      <w:r w:rsidR="002D0D48">
        <w:t>ιευκρινίζεται</w:t>
      </w:r>
      <w:r w:rsidR="00FD023D">
        <w:t xml:space="preserve"> ότι στις περιπτώσεις που τα κριτήρια επιλογής των τελικών αποδεκτών δεν επιδέχονται αξιολογικής κρίσης (</w:t>
      </w:r>
      <w:r w:rsidR="0089449B">
        <w:t>ο</w:t>
      </w:r>
      <w:r w:rsidR="0089449B">
        <w:rPr>
          <w:lang w:val="en-US"/>
        </w:rPr>
        <w:t>n</w:t>
      </w:r>
      <w:r w:rsidR="0089449B" w:rsidRPr="007F5D18">
        <w:t>/</w:t>
      </w:r>
      <w:r w:rsidR="0089449B">
        <w:rPr>
          <w:lang w:val="en-US"/>
        </w:rPr>
        <w:t>off</w:t>
      </w:r>
      <w:r w:rsidR="0089449B">
        <w:t xml:space="preserve"> </w:t>
      </w:r>
      <w:r w:rsidR="00FD023D">
        <w:t xml:space="preserve">κριτήρια) και η επιλογή αυτών γίνεται μέσω αυτοματοποιημένης διαδικασίας, η μη σύγκρουση συμφερόντων διασφαλίζεται μέσω της ακολουθούμενης διαδικασίας που εφαρμόζεται και ο Φορέας Υλοποίησης δεν είναι απαραίτητο να προβεί σε ειδικότερους ελέγχους. Ωστόσο οφείλει να μεριμνά για την αξιοπιστία και την ασφάλεια των πληροφοριακών συστημάτων </w:t>
      </w:r>
      <w:r w:rsidR="002D0D48">
        <w:t>που χρησιμοποιεί καθώς και για την αξιοπιστία των δεδομένων στα οποία στηρίζεται η επιλογή.</w:t>
      </w:r>
    </w:p>
    <w:sectPr w:rsidR="0092464D" w:rsidRPr="00FD023D" w:rsidSect="007D5D9A">
      <w:headerReference w:type="default" r:id="rId15"/>
      <w:footerReference w:type="default" r:id="rId16"/>
      <w:pgSz w:w="11906" w:h="16838"/>
      <w:pgMar w:top="1134" w:right="1134" w:bottom="1134"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E4E" w:rsidRDefault="005B4E4E" w:rsidP="00666200">
      <w:pPr>
        <w:spacing w:after="0" w:line="240" w:lineRule="auto"/>
      </w:pPr>
      <w:r>
        <w:separator/>
      </w:r>
    </w:p>
  </w:endnote>
  <w:endnote w:type="continuationSeparator" w:id="0">
    <w:p w:rsidR="005B4E4E" w:rsidRDefault="005B4E4E" w:rsidP="00666200">
      <w:pPr>
        <w:spacing w:after="0" w:line="240" w:lineRule="auto"/>
      </w:pPr>
      <w:r>
        <w:continuationSeparator/>
      </w:r>
    </w:p>
  </w:endnote>
  <w:endnote w:type="continuationNotice" w:id="1">
    <w:p w:rsidR="005B4E4E" w:rsidRDefault="005B4E4E">
      <w:pPr>
        <w:spacing w:after="0" w:line="240" w:lineRule="auto"/>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Georgia">
    <w:panose1 w:val="02040502050405020303"/>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200" w:rsidRPr="00666200" w:rsidRDefault="00666200" w:rsidP="00666200">
    <w:pPr>
      <w:spacing w:after="0"/>
      <w:ind w:left="-1799" w:right="10108"/>
      <w:rPr>
        <w:rFonts w:ascii="Arial" w:eastAsia="Arial" w:hAnsi="Arial" w:cs="Arial"/>
        <w:color w:val="000000"/>
        <w:kern w:val="0"/>
        <w:lang w:eastAsia="el-GR"/>
      </w:rPr>
    </w:pPr>
  </w:p>
  <w:tbl>
    <w:tblPr>
      <w:tblpPr w:leftFromText="180" w:rightFromText="180" w:vertAnchor="text" w:horzAnchor="margin" w:tblpY="1"/>
      <w:tblOverlap w:val="never"/>
      <w:tblW w:w="9498" w:type="dxa"/>
      <w:tblBorders>
        <w:top w:val="single" w:sz="4" w:space="0" w:color="auto"/>
      </w:tblBorders>
      <w:tblLook w:val="01E0"/>
    </w:tblPr>
    <w:tblGrid>
      <w:gridCol w:w="3383"/>
      <w:gridCol w:w="2850"/>
      <w:gridCol w:w="3265"/>
    </w:tblGrid>
    <w:tr w:rsidR="00666200" w:rsidRPr="00666200" w:rsidTr="002726C0">
      <w:trPr>
        <w:trHeight w:val="840"/>
      </w:trPr>
      <w:tc>
        <w:tcPr>
          <w:tcW w:w="3383" w:type="dxa"/>
          <w:shd w:val="clear" w:color="auto" w:fill="auto"/>
        </w:tcPr>
        <w:p w:rsidR="00666200" w:rsidRPr="0096434F" w:rsidRDefault="00666200" w:rsidP="00666200">
          <w:pPr>
            <w:spacing w:before="60" w:after="0" w:line="240" w:lineRule="auto"/>
            <w:ind w:left="10" w:hanging="11"/>
            <w:rPr>
              <w:rFonts w:eastAsia="Arial" w:cstheme="minorHAnsi"/>
              <w:color w:val="000000"/>
              <w:kern w:val="0"/>
              <w:sz w:val="16"/>
              <w:szCs w:val="16"/>
              <w:lang w:val="en-US" w:eastAsia="el-GR"/>
            </w:rPr>
          </w:pPr>
          <w:r w:rsidRPr="00666200">
            <w:rPr>
              <w:rFonts w:eastAsia="Arial" w:cstheme="minorHAnsi"/>
              <w:color w:val="000000"/>
              <w:kern w:val="0"/>
              <w:sz w:val="16"/>
              <w:szCs w:val="16"/>
              <w:lang w:eastAsia="el-GR"/>
            </w:rPr>
            <w:t xml:space="preserve">Έντυπο </w:t>
          </w:r>
          <w:r>
            <w:rPr>
              <w:rFonts w:eastAsia="Arial" w:cstheme="minorHAnsi"/>
              <w:color w:val="000000"/>
              <w:kern w:val="0"/>
              <w:sz w:val="16"/>
              <w:szCs w:val="16"/>
              <w:lang w:eastAsia="el-GR"/>
            </w:rPr>
            <w:t>Δ</w:t>
          </w:r>
          <w:r w:rsidR="00A46C94">
            <w:rPr>
              <w:rFonts w:eastAsia="Arial" w:cstheme="minorHAnsi"/>
              <w:color w:val="000000"/>
              <w:kern w:val="0"/>
              <w:sz w:val="16"/>
              <w:szCs w:val="16"/>
              <w:lang w:val="en-US" w:eastAsia="el-GR"/>
            </w:rPr>
            <w:t>1</w:t>
          </w:r>
          <w:r w:rsidR="00A46C94" w:rsidRPr="00666200">
            <w:rPr>
              <w:rFonts w:eastAsia="Arial" w:cstheme="minorHAnsi"/>
              <w:color w:val="000000"/>
              <w:kern w:val="0"/>
              <w:sz w:val="16"/>
              <w:szCs w:val="16"/>
              <w:lang w:eastAsia="el-GR"/>
            </w:rPr>
            <w:t>_</w:t>
          </w:r>
          <w:r w:rsidRPr="00666200">
            <w:rPr>
              <w:rFonts w:eastAsia="Arial" w:cstheme="minorHAnsi"/>
              <w:color w:val="000000"/>
              <w:kern w:val="0"/>
              <w:sz w:val="16"/>
              <w:szCs w:val="16"/>
              <w:lang w:eastAsia="el-GR"/>
            </w:rPr>
            <w:t>Οδ.</w:t>
          </w:r>
          <w:r w:rsidR="00A46C94">
            <w:rPr>
              <w:rFonts w:eastAsia="Arial" w:cstheme="minorHAnsi"/>
              <w:color w:val="000000"/>
              <w:kern w:val="0"/>
              <w:sz w:val="16"/>
              <w:szCs w:val="16"/>
              <w:lang w:val="en-US" w:eastAsia="el-GR"/>
            </w:rPr>
            <w:t>3</w:t>
          </w:r>
        </w:p>
        <w:p w:rsidR="00666200" w:rsidRPr="00666200" w:rsidRDefault="00666200" w:rsidP="00666200">
          <w:pPr>
            <w:spacing w:after="0" w:line="240" w:lineRule="auto"/>
            <w:ind w:left="10" w:hanging="11"/>
            <w:rPr>
              <w:rFonts w:eastAsia="Arial" w:cstheme="minorHAnsi"/>
              <w:color w:val="000000"/>
              <w:kern w:val="0"/>
              <w:sz w:val="16"/>
              <w:szCs w:val="16"/>
              <w:lang w:eastAsia="el-GR"/>
            </w:rPr>
          </w:pPr>
          <w:r w:rsidRPr="00666200">
            <w:rPr>
              <w:rFonts w:eastAsia="Arial" w:cstheme="minorHAnsi"/>
              <w:color w:val="000000"/>
              <w:kern w:val="0"/>
              <w:sz w:val="16"/>
              <w:szCs w:val="16"/>
              <w:lang w:eastAsia="el-GR"/>
            </w:rPr>
            <w:t>Έκδοση 1.</w:t>
          </w:r>
          <w:r>
            <w:rPr>
              <w:rFonts w:eastAsia="Arial" w:cstheme="minorHAnsi"/>
              <w:color w:val="000000"/>
              <w:kern w:val="0"/>
              <w:sz w:val="16"/>
              <w:szCs w:val="16"/>
              <w:lang w:eastAsia="el-GR"/>
            </w:rPr>
            <w:t>0</w:t>
          </w:r>
          <w:r w:rsidRPr="00666200">
            <w:rPr>
              <w:rFonts w:eastAsia="Arial" w:cstheme="minorHAnsi"/>
              <w:color w:val="000000"/>
              <w:kern w:val="0"/>
              <w:sz w:val="16"/>
              <w:szCs w:val="16"/>
              <w:lang w:eastAsia="el-GR"/>
            </w:rPr>
            <w:t xml:space="preserve"> </w:t>
          </w:r>
        </w:p>
        <w:p w:rsidR="00666200" w:rsidRPr="00666200" w:rsidRDefault="00666200" w:rsidP="00666200">
          <w:pPr>
            <w:spacing w:after="0" w:line="240" w:lineRule="auto"/>
            <w:ind w:left="10" w:hanging="11"/>
            <w:rPr>
              <w:rFonts w:ascii="Tahoma" w:eastAsia="Arial" w:hAnsi="Tahoma" w:cs="Tahoma"/>
              <w:b/>
              <w:color w:val="000000"/>
              <w:kern w:val="0"/>
              <w:sz w:val="16"/>
              <w:szCs w:val="16"/>
              <w:lang w:eastAsia="el-GR"/>
            </w:rPr>
          </w:pPr>
        </w:p>
      </w:tc>
      <w:tc>
        <w:tcPr>
          <w:tcW w:w="2850" w:type="dxa"/>
          <w:shd w:val="clear" w:color="auto" w:fill="auto"/>
          <w:vAlign w:val="center"/>
        </w:tcPr>
        <w:p w:rsidR="00666200" w:rsidRPr="00666200" w:rsidRDefault="00666200" w:rsidP="00666200">
          <w:pPr>
            <w:spacing w:after="0" w:line="240" w:lineRule="auto"/>
            <w:ind w:left="400" w:hanging="11"/>
            <w:jc w:val="both"/>
            <w:rPr>
              <w:rFonts w:ascii="Tahoma" w:eastAsia="Arial" w:hAnsi="Tahoma" w:cs="Tahoma"/>
              <w:color w:val="000000"/>
              <w:kern w:val="0"/>
              <w:sz w:val="16"/>
              <w:szCs w:val="16"/>
              <w:lang w:val="en-US" w:eastAsia="el-GR"/>
            </w:rPr>
          </w:pPr>
          <w:r w:rsidRPr="00666200">
            <w:rPr>
              <w:rFonts w:ascii="Tahoma" w:eastAsia="Arial" w:hAnsi="Tahoma" w:cs="Tahoma"/>
              <w:color w:val="000000"/>
              <w:kern w:val="0"/>
              <w:sz w:val="16"/>
              <w:szCs w:val="16"/>
              <w:lang w:val="en-US" w:eastAsia="el-GR"/>
            </w:rPr>
            <w:t>-</w:t>
          </w:r>
          <w:r w:rsidR="00B32119" w:rsidRPr="00666200">
            <w:rPr>
              <w:rFonts w:ascii="Tahoma" w:eastAsia="Arial" w:hAnsi="Tahoma" w:cs="Tahoma"/>
              <w:color w:val="000000"/>
              <w:kern w:val="0"/>
              <w:sz w:val="16"/>
              <w:szCs w:val="16"/>
              <w:lang w:eastAsia="el-GR"/>
            </w:rPr>
            <w:fldChar w:fldCharType="begin"/>
          </w:r>
          <w:r w:rsidRPr="00666200">
            <w:rPr>
              <w:rFonts w:ascii="Tahoma" w:eastAsia="Arial" w:hAnsi="Tahoma" w:cs="Tahoma"/>
              <w:color w:val="000000"/>
              <w:kern w:val="0"/>
              <w:sz w:val="16"/>
              <w:szCs w:val="16"/>
              <w:lang w:eastAsia="el-GR"/>
            </w:rPr>
            <w:instrText xml:space="preserve"> PAGE </w:instrText>
          </w:r>
          <w:r w:rsidR="00B32119" w:rsidRPr="00666200">
            <w:rPr>
              <w:rFonts w:ascii="Tahoma" w:eastAsia="Arial" w:hAnsi="Tahoma" w:cs="Tahoma"/>
              <w:color w:val="000000"/>
              <w:kern w:val="0"/>
              <w:sz w:val="16"/>
              <w:szCs w:val="16"/>
              <w:lang w:eastAsia="el-GR"/>
            </w:rPr>
            <w:fldChar w:fldCharType="separate"/>
          </w:r>
          <w:r w:rsidR="005B4E4E">
            <w:rPr>
              <w:rFonts w:ascii="Tahoma" w:eastAsia="Arial" w:hAnsi="Tahoma" w:cs="Tahoma"/>
              <w:noProof/>
              <w:color w:val="000000"/>
              <w:kern w:val="0"/>
              <w:sz w:val="16"/>
              <w:szCs w:val="16"/>
              <w:lang w:eastAsia="el-GR"/>
            </w:rPr>
            <w:t>1</w:t>
          </w:r>
          <w:r w:rsidR="00B32119" w:rsidRPr="00666200">
            <w:rPr>
              <w:rFonts w:ascii="Tahoma" w:eastAsia="Arial" w:hAnsi="Tahoma" w:cs="Tahoma"/>
              <w:color w:val="000000"/>
              <w:kern w:val="0"/>
              <w:sz w:val="16"/>
              <w:szCs w:val="16"/>
              <w:lang w:eastAsia="el-GR"/>
            </w:rPr>
            <w:fldChar w:fldCharType="end"/>
          </w:r>
          <w:r w:rsidRPr="00666200">
            <w:rPr>
              <w:rFonts w:ascii="Tahoma" w:eastAsia="Arial" w:hAnsi="Tahoma" w:cs="Tahoma"/>
              <w:color w:val="000000"/>
              <w:kern w:val="0"/>
              <w:sz w:val="16"/>
              <w:szCs w:val="16"/>
              <w:lang w:val="en-US" w:eastAsia="el-GR"/>
            </w:rPr>
            <w:t>-</w:t>
          </w:r>
        </w:p>
      </w:tc>
      <w:tc>
        <w:tcPr>
          <w:tcW w:w="3265" w:type="dxa"/>
          <w:shd w:val="clear" w:color="auto" w:fill="auto"/>
          <w:vAlign w:val="center"/>
        </w:tcPr>
        <w:p w:rsidR="00666200" w:rsidRPr="00666200" w:rsidRDefault="00C931E8" w:rsidP="00666200">
          <w:pPr>
            <w:spacing w:before="120" w:after="0" w:line="240" w:lineRule="auto"/>
            <w:ind w:left="10" w:hanging="11"/>
            <w:jc w:val="right"/>
            <w:rPr>
              <w:rFonts w:ascii="Tahoma" w:eastAsia="Arial" w:hAnsi="Tahoma" w:cs="Tahoma"/>
              <w:b/>
              <w:color w:val="000000"/>
              <w:kern w:val="0"/>
              <w:sz w:val="16"/>
              <w:szCs w:val="16"/>
              <w:lang w:eastAsia="el-GR"/>
            </w:rPr>
          </w:pPr>
          <w:r w:rsidRPr="00666200">
            <w:rPr>
              <w:rFonts w:ascii="Arial" w:eastAsia="Arial" w:hAnsi="Arial" w:cs="Arial"/>
              <w:noProof/>
              <w:color w:val="000000"/>
              <w:kern w:val="0"/>
              <w:sz w:val="20"/>
              <w:lang w:eastAsia="el-GR"/>
            </w:rPr>
            <w:drawing>
              <wp:anchor distT="0" distB="0" distL="114300" distR="114300" simplePos="0" relativeHeight="251659264" behindDoc="0" locked="0" layoutInCell="1" allowOverlap="1">
                <wp:simplePos x="0" y="0"/>
                <wp:positionH relativeFrom="column">
                  <wp:posOffset>-298450</wp:posOffset>
                </wp:positionH>
                <wp:positionV relativeFrom="paragraph">
                  <wp:posOffset>-21590</wp:posOffset>
                </wp:positionV>
                <wp:extent cx="2209800" cy="490220"/>
                <wp:effectExtent l="0" t="0" r="0" b="5080"/>
                <wp:wrapNone/>
                <wp:docPr id="1" name="Εικόνα 1"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09800" cy="490220"/>
                        </a:xfrm>
                        <a:prstGeom prst="rect">
                          <a:avLst/>
                        </a:prstGeom>
                        <a:noFill/>
                      </pic:spPr>
                    </pic:pic>
                  </a:graphicData>
                </a:graphic>
              </wp:anchor>
            </w:drawing>
          </w:r>
        </w:p>
      </w:tc>
    </w:tr>
  </w:tbl>
  <w:p w:rsidR="00666200" w:rsidRDefault="0066620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E4E" w:rsidRDefault="005B4E4E" w:rsidP="00666200">
      <w:pPr>
        <w:spacing w:after="0" w:line="240" w:lineRule="auto"/>
      </w:pPr>
      <w:r>
        <w:separator/>
      </w:r>
    </w:p>
  </w:footnote>
  <w:footnote w:type="continuationSeparator" w:id="0">
    <w:p w:rsidR="005B4E4E" w:rsidRDefault="005B4E4E" w:rsidP="00666200">
      <w:pPr>
        <w:spacing w:after="0" w:line="240" w:lineRule="auto"/>
      </w:pPr>
      <w:r>
        <w:continuationSeparator/>
      </w:r>
    </w:p>
  </w:footnote>
  <w:footnote w:type="continuationNotice" w:id="1">
    <w:p w:rsidR="005B4E4E" w:rsidRDefault="005B4E4E">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E90" w:rsidRDefault="00AA7E9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76DA9"/>
    <w:multiLevelType w:val="hybridMultilevel"/>
    <w:tmpl w:val="6C765BD4"/>
    <w:lvl w:ilvl="0" w:tplc="0408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2F2853"/>
    <w:multiLevelType w:val="hybridMultilevel"/>
    <w:tmpl w:val="7E4A5908"/>
    <w:lvl w:ilvl="0" w:tplc="E968CFD0">
      <w:start w:val="1"/>
      <w:numFmt w:val="bullet"/>
      <w:lvlText w:val=""/>
      <w:lvlJc w:val="left"/>
      <w:pPr>
        <w:ind w:left="720" w:hanging="360"/>
      </w:pPr>
      <w:rPr>
        <w:rFonts w:ascii="Symbol" w:hAnsi="Symbol" w:hint="default"/>
      </w:rPr>
    </w:lvl>
    <w:lvl w:ilvl="1" w:tplc="0D5C01BA">
      <w:start w:val="1"/>
      <w:numFmt w:val="bullet"/>
      <w:lvlText w:val="o"/>
      <w:lvlJc w:val="left"/>
      <w:pPr>
        <w:ind w:left="1440" w:hanging="360"/>
      </w:pPr>
      <w:rPr>
        <w:rFonts w:ascii="Courier New" w:hAnsi="Courier New" w:hint="default"/>
      </w:rPr>
    </w:lvl>
    <w:lvl w:ilvl="2" w:tplc="9DF8C44E">
      <w:start w:val="1"/>
      <w:numFmt w:val="bullet"/>
      <w:lvlText w:val=""/>
      <w:lvlJc w:val="left"/>
      <w:pPr>
        <w:ind w:left="2160" w:hanging="360"/>
      </w:pPr>
      <w:rPr>
        <w:rFonts w:ascii="Wingdings" w:hAnsi="Wingdings" w:hint="default"/>
      </w:rPr>
    </w:lvl>
    <w:lvl w:ilvl="3" w:tplc="81CA8A5E">
      <w:start w:val="1"/>
      <w:numFmt w:val="bullet"/>
      <w:lvlText w:val=""/>
      <w:lvlJc w:val="left"/>
      <w:pPr>
        <w:ind w:left="2880" w:hanging="360"/>
      </w:pPr>
      <w:rPr>
        <w:rFonts w:ascii="Symbol" w:hAnsi="Symbol" w:hint="default"/>
      </w:rPr>
    </w:lvl>
    <w:lvl w:ilvl="4" w:tplc="C848FD34">
      <w:start w:val="1"/>
      <w:numFmt w:val="bullet"/>
      <w:lvlText w:val="o"/>
      <w:lvlJc w:val="left"/>
      <w:pPr>
        <w:ind w:left="3600" w:hanging="360"/>
      </w:pPr>
      <w:rPr>
        <w:rFonts w:ascii="Courier New" w:hAnsi="Courier New" w:hint="default"/>
      </w:rPr>
    </w:lvl>
    <w:lvl w:ilvl="5" w:tplc="801C474E">
      <w:start w:val="1"/>
      <w:numFmt w:val="bullet"/>
      <w:lvlText w:val=""/>
      <w:lvlJc w:val="left"/>
      <w:pPr>
        <w:ind w:left="4320" w:hanging="360"/>
      </w:pPr>
      <w:rPr>
        <w:rFonts w:ascii="Wingdings" w:hAnsi="Wingdings" w:hint="default"/>
      </w:rPr>
    </w:lvl>
    <w:lvl w:ilvl="6" w:tplc="F2A4316A">
      <w:start w:val="1"/>
      <w:numFmt w:val="bullet"/>
      <w:lvlText w:val=""/>
      <w:lvlJc w:val="left"/>
      <w:pPr>
        <w:ind w:left="5040" w:hanging="360"/>
      </w:pPr>
      <w:rPr>
        <w:rFonts w:ascii="Symbol" w:hAnsi="Symbol" w:hint="default"/>
      </w:rPr>
    </w:lvl>
    <w:lvl w:ilvl="7" w:tplc="1F567AB6">
      <w:start w:val="1"/>
      <w:numFmt w:val="bullet"/>
      <w:lvlText w:val="o"/>
      <w:lvlJc w:val="left"/>
      <w:pPr>
        <w:ind w:left="5760" w:hanging="360"/>
      </w:pPr>
      <w:rPr>
        <w:rFonts w:ascii="Courier New" w:hAnsi="Courier New" w:hint="default"/>
      </w:rPr>
    </w:lvl>
    <w:lvl w:ilvl="8" w:tplc="31F86A92">
      <w:start w:val="1"/>
      <w:numFmt w:val="bullet"/>
      <w:lvlText w:val=""/>
      <w:lvlJc w:val="left"/>
      <w:pPr>
        <w:ind w:left="6480" w:hanging="360"/>
      </w:pPr>
      <w:rPr>
        <w:rFonts w:ascii="Wingdings" w:hAnsi="Wingdings" w:hint="default"/>
      </w:rPr>
    </w:lvl>
  </w:abstractNum>
  <w:abstractNum w:abstractNumId="2">
    <w:nsid w:val="111A5282"/>
    <w:multiLevelType w:val="hybridMultilevel"/>
    <w:tmpl w:val="2C38B3FE"/>
    <w:lvl w:ilvl="0" w:tplc="0408000D">
      <w:start w:val="1"/>
      <w:numFmt w:val="bullet"/>
      <w:lvlText w:val=""/>
      <w:lvlJc w:val="left"/>
      <w:pPr>
        <w:ind w:left="732" w:hanging="360"/>
      </w:pPr>
      <w:rPr>
        <w:rFonts w:ascii="Wingdings" w:hAnsi="Wingdings" w:hint="default"/>
      </w:rPr>
    </w:lvl>
    <w:lvl w:ilvl="1" w:tplc="04080003" w:tentative="1">
      <w:start w:val="1"/>
      <w:numFmt w:val="bullet"/>
      <w:lvlText w:val="o"/>
      <w:lvlJc w:val="left"/>
      <w:pPr>
        <w:ind w:left="1452" w:hanging="360"/>
      </w:pPr>
      <w:rPr>
        <w:rFonts w:ascii="Courier New" w:hAnsi="Courier New" w:cs="Courier New" w:hint="default"/>
      </w:rPr>
    </w:lvl>
    <w:lvl w:ilvl="2" w:tplc="04080005" w:tentative="1">
      <w:start w:val="1"/>
      <w:numFmt w:val="bullet"/>
      <w:lvlText w:val=""/>
      <w:lvlJc w:val="left"/>
      <w:pPr>
        <w:ind w:left="2172" w:hanging="360"/>
      </w:pPr>
      <w:rPr>
        <w:rFonts w:ascii="Wingdings" w:hAnsi="Wingdings" w:hint="default"/>
      </w:rPr>
    </w:lvl>
    <w:lvl w:ilvl="3" w:tplc="04080001" w:tentative="1">
      <w:start w:val="1"/>
      <w:numFmt w:val="bullet"/>
      <w:lvlText w:val=""/>
      <w:lvlJc w:val="left"/>
      <w:pPr>
        <w:ind w:left="2892" w:hanging="360"/>
      </w:pPr>
      <w:rPr>
        <w:rFonts w:ascii="Symbol" w:hAnsi="Symbol" w:hint="default"/>
      </w:rPr>
    </w:lvl>
    <w:lvl w:ilvl="4" w:tplc="04080003" w:tentative="1">
      <w:start w:val="1"/>
      <w:numFmt w:val="bullet"/>
      <w:lvlText w:val="o"/>
      <w:lvlJc w:val="left"/>
      <w:pPr>
        <w:ind w:left="3612" w:hanging="360"/>
      </w:pPr>
      <w:rPr>
        <w:rFonts w:ascii="Courier New" w:hAnsi="Courier New" w:cs="Courier New" w:hint="default"/>
      </w:rPr>
    </w:lvl>
    <w:lvl w:ilvl="5" w:tplc="04080005" w:tentative="1">
      <w:start w:val="1"/>
      <w:numFmt w:val="bullet"/>
      <w:lvlText w:val=""/>
      <w:lvlJc w:val="left"/>
      <w:pPr>
        <w:ind w:left="4332" w:hanging="360"/>
      </w:pPr>
      <w:rPr>
        <w:rFonts w:ascii="Wingdings" w:hAnsi="Wingdings" w:hint="default"/>
      </w:rPr>
    </w:lvl>
    <w:lvl w:ilvl="6" w:tplc="04080001" w:tentative="1">
      <w:start w:val="1"/>
      <w:numFmt w:val="bullet"/>
      <w:lvlText w:val=""/>
      <w:lvlJc w:val="left"/>
      <w:pPr>
        <w:ind w:left="5052" w:hanging="360"/>
      </w:pPr>
      <w:rPr>
        <w:rFonts w:ascii="Symbol" w:hAnsi="Symbol" w:hint="default"/>
      </w:rPr>
    </w:lvl>
    <w:lvl w:ilvl="7" w:tplc="04080003" w:tentative="1">
      <w:start w:val="1"/>
      <w:numFmt w:val="bullet"/>
      <w:lvlText w:val="o"/>
      <w:lvlJc w:val="left"/>
      <w:pPr>
        <w:ind w:left="5772" w:hanging="360"/>
      </w:pPr>
      <w:rPr>
        <w:rFonts w:ascii="Courier New" w:hAnsi="Courier New" w:cs="Courier New" w:hint="default"/>
      </w:rPr>
    </w:lvl>
    <w:lvl w:ilvl="8" w:tplc="04080005" w:tentative="1">
      <w:start w:val="1"/>
      <w:numFmt w:val="bullet"/>
      <w:lvlText w:val=""/>
      <w:lvlJc w:val="left"/>
      <w:pPr>
        <w:ind w:left="6492" w:hanging="360"/>
      </w:pPr>
      <w:rPr>
        <w:rFonts w:ascii="Wingdings" w:hAnsi="Wingdings" w:hint="default"/>
      </w:rPr>
    </w:lvl>
  </w:abstractNum>
  <w:abstractNum w:abstractNumId="3">
    <w:nsid w:val="38DA4803"/>
    <w:multiLevelType w:val="hybridMultilevel"/>
    <w:tmpl w:val="CB3C66BA"/>
    <w:lvl w:ilvl="0" w:tplc="FF3EBBFE">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C8A3E26"/>
    <w:multiLevelType w:val="hybridMultilevel"/>
    <w:tmpl w:val="DDCC5B1A"/>
    <w:lvl w:ilvl="0" w:tplc="0408000D">
      <w:start w:val="1"/>
      <w:numFmt w:val="bullet"/>
      <w:lvlText w:val=""/>
      <w:lvlJc w:val="left"/>
      <w:pPr>
        <w:ind w:left="706" w:hanging="360"/>
      </w:pPr>
      <w:rPr>
        <w:rFonts w:ascii="Wingdings" w:hAnsi="Wingdings"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5">
    <w:nsid w:val="42B859F1"/>
    <w:multiLevelType w:val="hybridMultilevel"/>
    <w:tmpl w:val="99E68A70"/>
    <w:lvl w:ilvl="0" w:tplc="04080001">
      <w:start w:val="1"/>
      <w:numFmt w:val="bullet"/>
      <w:lvlText w:val=""/>
      <w:lvlJc w:val="left"/>
      <w:pPr>
        <w:ind w:left="706" w:hanging="360"/>
      </w:pPr>
      <w:rPr>
        <w:rFonts w:ascii="Symbol" w:hAnsi="Symbol"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6">
    <w:nsid w:val="7F790FF6"/>
    <w:multiLevelType w:val="hybridMultilevel"/>
    <w:tmpl w:val="DA1273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4098"/>
  </w:hdrShapeDefaults>
  <w:footnotePr>
    <w:footnote w:id="-1"/>
    <w:footnote w:id="0"/>
    <w:footnote w:id="1"/>
  </w:footnotePr>
  <w:endnotePr>
    <w:endnote w:id="-1"/>
    <w:endnote w:id="0"/>
    <w:endnote w:id="1"/>
  </w:endnotePr>
  <w:compat/>
  <w:rsids>
    <w:rsidRoot w:val="00DB6327"/>
    <w:rsid w:val="000006F4"/>
    <w:rsid w:val="000057FB"/>
    <w:rsid w:val="00006290"/>
    <w:rsid w:val="00010FDD"/>
    <w:rsid w:val="00012672"/>
    <w:rsid w:val="00013BE7"/>
    <w:rsid w:val="00016541"/>
    <w:rsid w:val="00016E08"/>
    <w:rsid w:val="0004024C"/>
    <w:rsid w:val="000435E8"/>
    <w:rsid w:val="00057DD5"/>
    <w:rsid w:val="00062075"/>
    <w:rsid w:val="00062E22"/>
    <w:rsid w:val="00062FF6"/>
    <w:rsid w:val="000634C5"/>
    <w:rsid w:val="00065247"/>
    <w:rsid w:val="00072FD6"/>
    <w:rsid w:val="00082176"/>
    <w:rsid w:val="0008362B"/>
    <w:rsid w:val="00085B0E"/>
    <w:rsid w:val="0009546E"/>
    <w:rsid w:val="000A1AE5"/>
    <w:rsid w:val="000A7E6F"/>
    <w:rsid w:val="000B2014"/>
    <w:rsid w:val="000B4890"/>
    <w:rsid w:val="000C323B"/>
    <w:rsid w:val="000D2C3E"/>
    <w:rsid w:val="000D6B25"/>
    <w:rsid w:val="000E4EE0"/>
    <w:rsid w:val="00110BDF"/>
    <w:rsid w:val="00142910"/>
    <w:rsid w:val="0015556B"/>
    <w:rsid w:val="001556B8"/>
    <w:rsid w:val="00157E91"/>
    <w:rsid w:val="001725BE"/>
    <w:rsid w:val="00197048"/>
    <w:rsid w:val="001A0436"/>
    <w:rsid w:val="001C5DB2"/>
    <w:rsid w:val="00201782"/>
    <w:rsid w:val="00206F88"/>
    <w:rsid w:val="002078CB"/>
    <w:rsid w:val="00230E2D"/>
    <w:rsid w:val="0023198E"/>
    <w:rsid w:val="00231C5E"/>
    <w:rsid w:val="00232493"/>
    <w:rsid w:val="00233F2B"/>
    <w:rsid w:val="002353B7"/>
    <w:rsid w:val="0024467D"/>
    <w:rsid w:val="00250F09"/>
    <w:rsid w:val="00253E3A"/>
    <w:rsid w:val="00262280"/>
    <w:rsid w:val="002726C0"/>
    <w:rsid w:val="002A0121"/>
    <w:rsid w:val="002A05AD"/>
    <w:rsid w:val="002A1038"/>
    <w:rsid w:val="002B2CCD"/>
    <w:rsid w:val="002B4488"/>
    <w:rsid w:val="002C6ADE"/>
    <w:rsid w:val="002D0D48"/>
    <w:rsid w:val="002D4C07"/>
    <w:rsid w:val="002D5C71"/>
    <w:rsid w:val="002E3E48"/>
    <w:rsid w:val="002F6C9B"/>
    <w:rsid w:val="002F7CC6"/>
    <w:rsid w:val="00302885"/>
    <w:rsid w:val="0030393C"/>
    <w:rsid w:val="00305C12"/>
    <w:rsid w:val="00310E95"/>
    <w:rsid w:val="00347BD8"/>
    <w:rsid w:val="0036064B"/>
    <w:rsid w:val="00376085"/>
    <w:rsid w:val="00377270"/>
    <w:rsid w:val="00382A2D"/>
    <w:rsid w:val="00392B28"/>
    <w:rsid w:val="00393246"/>
    <w:rsid w:val="00397F2E"/>
    <w:rsid w:val="003A231A"/>
    <w:rsid w:val="003A3027"/>
    <w:rsid w:val="003A36A9"/>
    <w:rsid w:val="003A4120"/>
    <w:rsid w:val="003B024C"/>
    <w:rsid w:val="003C2CE5"/>
    <w:rsid w:val="003C2FCA"/>
    <w:rsid w:val="003C4410"/>
    <w:rsid w:val="003E2CEF"/>
    <w:rsid w:val="0040009C"/>
    <w:rsid w:val="0040583E"/>
    <w:rsid w:val="004058AE"/>
    <w:rsid w:val="00417D4E"/>
    <w:rsid w:val="00455C23"/>
    <w:rsid w:val="00461784"/>
    <w:rsid w:val="00465360"/>
    <w:rsid w:val="0046669A"/>
    <w:rsid w:val="00471C98"/>
    <w:rsid w:val="00486227"/>
    <w:rsid w:val="00486C6F"/>
    <w:rsid w:val="00487622"/>
    <w:rsid w:val="00487EE4"/>
    <w:rsid w:val="004A5EF6"/>
    <w:rsid w:val="004C63E1"/>
    <w:rsid w:val="004D0050"/>
    <w:rsid w:val="004D766C"/>
    <w:rsid w:val="004E0D57"/>
    <w:rsid w:val="004E24A0"/>
    <w:rsid w:val="004F754C"/>
    <w:rsid w:val="005078E8"/>
    <w:rsid w:val="005154D2"/>
    <w:rsid w:val="0052438D"/>
    <w:rsid w:val="0053590E"/>
    <w:rsid w:val="0054692D"/>
    <w:rsid w:val="00552280"/>
    <w:rsid w:val="00555B8C"/>
    <w:rsid w:val="00563CF8"/>
    <w:rsid w:val="00572CA8"/>
    <w:rsid w:val="00573A4F"/>
    <w:rsid w:val="005753C7"/>
    <w:rsid w:val="0057738A"/>
    <w:rsid w:val="00586480"/>
    <w:rsid w:val="0059013F"/>
    <w:rsid w:val="005A3EC7"/>
    <w:rsid w:val="005A6C02"/>
    <w:rsid w:val="005B4DB8"/>
    <w:rsid w:val="005B4E4E"/>
    <w:rsid w:val="005C6ED6"/>
    <w:rsid w:val="005C7D86"/>
    <w:rsid w:val="005D6A00"/>
    <w:rsid w:val="005E38C1"/>
    <w:rsid w:val="005E736D"/>
    <w:rsid w:val="005F2869"/>
    <w:rsid w:val="005F3786"/>
    <w:rsid w:val="006000A0"/>
    <w:rsid w:val="00610834"/>
    <w:rsid w:val="00620E21"/>
    <w:rsid w:val="00620F5A"/>
    <w:rsid w:val="00624278"/>
    <w:rsid w:val="00634108"/>
    <w:rsid w:val="0064078A"/>
    <w:rsid w:val="006512F9"/>
    <w:rsid w:val="006537F1"/>
    <w:rsid w:val="00666200"/>
    <w:rsid w:val="00666A50"/>
    <w:rsid w:val="006924E4"/>
    <w:rsid w:val="006A73F0"/>
    <w:rsid w:val="006C2704"/>
    <w:rsid w:val="006C4D43"/>
    <w:rsid w:val="006C68DA"/>
    <w:rsid w:val="006C6BD1"/>
    <w:rsid w:val="006C774E"/>
    <w:rsid w:val="006F2877"/>
    <w:rsid w:val="006F32D1"/>
    <w:rsid w:val="00701FA8"/>
    <w:rsid w:val="00706FFE"/>
    <w:rsid w:val="00714713"/>
    <w:rsid w:val="007151D1"/>
    <w:rsid w:val="0071687A"/>
    <w:rsid w:val="00733DB1"/>
    <w:rsid w:val="007364D1"/>
    <w:rsid w:val="00741821"/>
    <w:rsid w:val="00742875"/>
    <w:rsid w:val="00743F29"/>
    <w:rsid w:val="00750111"/>
    <w:rsid w:val="0075708E"/>
    <w:rsid w:val="00761BC8"/>
    <w:rsid w:val="00784C40"/>
    <w:rsid w:val="007A11E9"/>
    <w:rsid w:val="007A148E"/>
    <w:rsid w:val="007B272B"/>
    <w:rsid w:val="007C23A6"/>
    <w:rsid w:val="007D2B35"/>
    <w:rsid w:val="007D5D9A"/>
    <w:rsid w:val="007D7C26"/>
    <w:rsid w:val="007E352A"/>
    <w:rsid w:val="007E61ED"/>
    <w:rsid w:val="007F1F12"/>
    <w:rsid w:val="007F5D18"/>
    <w:rsid w:val="00800C62"/>
    <w:rsid w:val="00801044"/>
    <w:rsid w:val="00807140"/>
    <w:rsid w:val="00807579"/>
    <w:rsid w:val="0081122D"/>
    <w:rsid w:val="0081225A"/>
    <w:rsid w:val="00835EBC"/>
    <w:rsid w:val="0084058A"/>
    <w:rsid w:val="00866BE1"/>
    <w:rsid w:val="00877B94"/>
    <w:rsid w:val="0089449B"/>
    <w:rsid w:val="008950F2"/>
    <w:rsid w:val="008A2413"/>
    <w:rsid w:val="008B7B5A"/>
    <w:rsid w:val="008D022C"/>
    <w:rsid w:val="008D3E7F"/>
    <w:rsid w:val="008E0077"/>
    <w:rsid w:val="008E70D0"/>
    <w:rsid w:val="008F39F0"/>
    <w:rsid w:val="008F3CEA"/>
    <w:rsid w:val="009022D0"/>
    <w:rsid w:val="009234E4"/>
    <w:rsid w:val="009241CA"/>
    <w:rsid w:val="0092464D"/>
    <w:rsid w:val="00927425"/>
    <w:rsid w:val="00932D34"/>
    <w:rsid w:val="009341BB"/>
    <w:rsid w:val="00934ADD"/>
    <w:rsid w:val="00960081"/>
    <w:rsid w:val="00963E06"/>
    <w:rsid w:val="0096434F"/>
    <w:rsid w:val="00967878"/>
    <w:rsid w:val="0097017E"/>
    <w:rsid w:val="00990258"/>
    <w:rsid w:val="009926EF"/>
    <w:rsid w:val="009A746A"/>
    <w:rsid w:val="00A04E80"/>
    <w:rsid w:val="00A1358E"/>
    <w:rsid w:val="00A13D69"/>
    <w:rsid w:val="00A42441"/>
    <w:rsid w:val="00A42A44"/>
    <w:rsid w:val="00A46C94"/>
    <w:rsid w:val="00A47B70"/>
    <w:rsid w:val="00A5146D"/>
    <w:rsid w:val="00A614AC"/>
    <w:rsid w:val="00A66E87"/>
    <w:rsid w:val="00A8057E"/>
    <w:rsid w:val="00A8092D"/>
    <w:rsid w:val="00A80DE7"/>
    <w:rsid w:val="00AA7E90"/>
    <w:rsid w:val="00AB3242"/>
    <w:rsid w:val="00AB5C67"/>
    <w:rsid w:val="00AC09F8"/>
    <w:rsid w:val="00AD0CC6"/>
    <w:rsid w:val="00AE3C87"/>
    <w:rsid w:val="00AE3D6E"/>
    <w:rsid w:val="00AF1F41"/>
    <w:rsid w:val="00AF4FFB"/>
    <w:rsid w:val="00AF69CD"/>
    <w:rsid w:val="00B12C05"/>
    <w:rsid w:val="00B15043"/>
    <w:rsid w:val="00B159D6"/>
    <w:rsid w:val="00B160D7"/>
    <w:rsid w:val="00B16532"/>
    <w:rsid w:val="00B24ACC"/>
    <w:rsid w:val="00B32119"/>
    <w:rsid w:val="00B4639D"/>
    <w:rsid w:val="00B47754"/>
    <w:rsid w:val="00B73ACF"/>
    <w:rsid w:val="00B74540"/>
    <w:rsid w:val="00B82B62"/>
    <w:rsid w:val="00B867C6"/>
    <w:rsid w:val="00B86AA2"/>
    <w:rsid w:val="00B91DE4"/>
    <w:rsid w:val="00B925A3"/>
    <w:rsid w:val="00BA2D87"/>
    <w:rsid w:val="00BB5A3A"/>
    <w:rsid w:val="00BB60C6"/>
    <w:rsid w:val="00BB6971"/>
    <w:rsid w:val="00BB7FAB"/>
    <w:rsid w:val="00BC036B"/>
    <w:rsid w:val="00BC6395"/>
    <w:rsid w:val="00BD2B2C"/>
    <w:rsid w:val="00BE3F8F"/>
    <w:rsid w:val="00BE485C"/>
    <w:rsid w:val="00BE7720"/>
    <w:rsid w:val="00BF5200"/>
    <w:rsid w:val="00BF743A"/>
    <w:rsid w:val="00C00FD5"/>
    <w:rsid w:val="00C030A8"/>
    <w:rsid w:val="00C06330"/>
    <w:rsid w:val="00C2069B"/>
    <w:rsid w:val="00C3492E"/>
    <w:rsid w:val="00C36F06"/>
    <w:rsid w:val="00C46CE5"/>
    <w:rsid w:val="00C526C0"/>
    <w:rsid w:val="00C64493"/>
    <w:rsid w:val="00C74182"/>
    <w:rsid w:val="00C80AB7"/>
    <w:rsid w:val="00C87624"/>
    <w:rsid w:val="00C90A0A"/>
    <w:rsid w:val="00C931E8"/>
    <w:rsid w:val="00C94EF8"/>
    <w:rsid w:val="00CA406B"/>
    <w:rsid w:val="00CA508F"/>
    <w:rsid w:val="00CB7D1E"/>
    <w:rsid w:val="00CC0E93"/>
    <w:rsid w:val="00CC189A"/>
    <w:rsid w:val="00CC1A38"/>
    <w:rsid w:val="00CC71DD"/>
    <w:rsid w:val="00CE2F40"/>
    <w:rsid w:val="00CF5B1F"/>
    <w:rsid w:val="00D137BF"/>
    <w:rsid w:val="00D13D02"/>
    <w:rsid w:val="00D26DE0"/>
    <w:rsid w:val="00D31DD8"/>
    <w:rsid w:val="00D405CE"/>
    <w:rsid w:val="00D437D8"/>
    <w:rsid w:val="00D51653"/>
    <w:rsid w:val="00D64AE1"/>
    <w:rsid w:val="00D73E02"/>
    <w:rsid w:val="00D745A9"/>
    <w:rsid w:val="00D77C13"/>
    <w:rsid w:val="00D83CC6"/>
    <w:rsid w:val="00D9417D"/>
    <w:rsid w:val="00D9439D"/>
    <w:rsid w:val="00D97177"/>
    <w:rsid w:val="00DB45EF"/>
    <w:rsid w:val="00DB6327"/>
    <w:rsid w:val="00DB71E7"/>
    <w:rsid w:val="00DB7D75"/>
    <w:rsid w:val="00DD51C2"/>
    <w:rsid w:val="00DD56CD"/>
    <w:rsid w:val="00DE3BD5"/>
    <w:rsid w:val="00DE48C5"/>
    <w:rsid w:val="00DF3795"/>
    <w:rsid w:val="00DF3D04"/>
    <w:rsid w:val="00E01F15"/>
    <w:rsid w:val="00E0370F"/>
    <w:rsid w:val="00E063F5"/>
    <w:rsid w:val="00E134B4"/>
    <w:rsid w:val="00E13A90"/>
    <w:rsid w:val="00E14848"/>
    <w:rsid w:val="00E2488F"/>
    <w:rsid w:val="00E411C7"/>
    <w:rsid w:val="00E518FB"/>
    <w:rsid w:val="00E63F95"/>
    <w:rsid w:val="00E91464"/>
    <w:rsid w:val="00E94990"/>
    <w:rsid w:val="00E94CA8"/>
    <w:rsid w:val="00EB0752"/>
    <w:rsid w:val="00EB3CD2"/>
    <w:rsid w:val="00EC0F97"/>
    <w:rsid w:val="00ED20E1"/>
    <w:rsid w:val="00EE1DEF"/>
    <w:rsid w:val="00EE302E"/>
    <w:rsid w:val="00EE6198"/>
    <w:rsid w:val="00EF29DE"/>
    <w:rsid w:val="00F02DA9"/>
    <w:rsid w:val="00F15477"/>
    <w:rsid w:val="00F16734"/>
    <w:rsid w:val="00F30226"/>
    <w:rsid w:val="00F3203C"/>
    <w:rsid w:val="00F34299"/>
    <w:rsid w:val="00F34E91"/>
    <w:rsid w:val="00F40B23"/>
    <w:rsid w:val="00F42813"/>
    <w:rsid w:val="00F43AB1"/>
    <w:rsid w:val="00F43AE5"/>
    <w:rsid w:val="00F56ADF"/>
    <w:rsid w:val="00F71A90"/>
    <w:rsid w:val="00F71BBC"/>
    <w:rsid w:val="00F755DB"/>
    <w:rsid w:val="00F82EE2"/>
    <w:rsid w:val="00F874B1"/>
    <w:rsid w:val="00F87B98"/>
    <w:rsid w:val="00F92C14"/>
    <w:rsid w:val="00FA1029"/>
    <w:rsid w:val="00FA2012"/>
    <w:rsid w:val="00FA7587"/>
    <w:rsid w:val="00FA7A50"/>
    <w:rsid w:val="00FB29CA"/>
    <w:rsid w:val="00FB6B44"/>
    <w:rsid w:val="00FD023D"/>
    <w:rsid w:val="00FF6B8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1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6200"/>
    <w:pPr>
      <w:tabs>
        <w:tab w:val="center" w:pos="4153"/>
        <w:tab w:val="right" w:pos="8306"/>
      </w:tabs>
      <w:spacing w:after="0" w:line="240" w:lineRule="auto"/>
    </w:pPr>
  </w:style>
  <w:style w:type="character" w:customStyle="1" w:styleId="Char">
    <w:name w:val="Κεφαλίδα Char"/>
    <w:basedOn w:val="a0"/>
    <w:link w:val="a3"/>
    <w:uiPriority w:val="99"/>
    <w:rsid w:val="00666200"/>
  </w:style>
  <w:style w:type="paragraph" w:styleId="a4">
    <w:name w:val="footer"/>
    <w:basedOn w:val="a"/>
    <w:link w:val="Char0"/>
    <w:uiPriority w:val="99"/>
    <w:unhideWhenUsed/>
    <w:rsid w:val="00666200"/>
    <w:pPr>
      <w:tabs>
        <w:tab w:val="center" w:pos="4153"/>
        <w:tab w:val="right" w:pos="8306"/>
      </w:tabs>
      <w:spacing w:after="0" w:line="240" w:lineRule="auto"/>
    </w:pPr>
  </w:style>
  <w:style w:type="character" w:customStyle="1" w:styleId="Char0">
    <w:name w:val="Υποσέλιδο Char"/>
    <w:basedOn w:val="a0"/>
    <w:link w:val="a4"/>
    <w:uiPriority w:val="99"/>
    <w:rsid w:val="00666200"/>
  </w:style>
  <w:style w:type="paragraph" w:styleId="a5">
    <w:name w:val="footnote text"/>
    <w:basedOn w:val="a"/>
    <w:link w:val="Char1"/>
    <w:uiPriority w:val="99"/>
    <w:semiHidden/>
    <w:unhideWhenUsed/>
    <w:rsid w:val="00C74182"/>
    <w:pPr>
      <w:spacing w:after="0" w:line="240" w:lineRule="auto"/>
    </w:pPr>
    <w:rPr>
      <w:kern w:val="0"/>
      <w:sz w:val="20"/>
      <w:szCs w:val="20"/>
      <w:lang w:val="en-GB"/>
    </w:rPr>
  </w:style>
  <w:style w:type="character" w:customStyle="1" w:styleId="Char1">
    <w:name w:val="Κείμενο υποσημείωσης Char"/>
    <w:basedOn w:val="a0"/>
    <w:link w:val="a5"/>
    <w:uiPriority w:val="99"/>
    <w:semiHidden/>
    <w:rsid w:val="00C74182"/>
    <w:rPr>
      <w:kern w:val="0"/>
      <w:sz w:val="20"/>
      <w:szCs w:val="20"/>
      <w:lang w:val="en-GB"/>
    </w:rPr>
  </w:style>
  <w:style w:type="character" w:styleId="a6">
    <w:name w:val="footnote reference"/>
    <w:basedOn w:val="a0"/>
    <w:uiPriority w:val="99"/>
    <w:semiHidden/>
    <w:unhideWhenUsed/>
    <w:rsid w:val="00C74182"/>
    <w:rPr>
      <w:vertAlign w:val="superscript"/>
    </w:rPr>
  </w:style>
  <w:style w:type="paragraph" w:styleId="a7">
    <w:name w:val="List Paragraph"/>
    <w:basedOn w:val="a"/>
    <w:uiPriority w:val="34"/>
    <w:qFormat/>
    <w:rsid w:val="00062E22"/>
    <w:pPr>
      <w:ind w:left="720"/>
      <w:contextualSpacing/>
    </w:pPr>
    <w:rPr>
      <w:kern w:val="0"/>
      <w:lang w:val="en-GB"/>
    </w:rPr>
  </w:style>
  <w:style w:type="paragraph" w:styleId="a8">
    <w:name w:val="Revision"/>
    <w:hidden/>
    <w:uiPriority w:val="99"/>
    <w:semiHidden/>
    <w:rsid w:val="00A1358E"/>
    <w:pPr>
      <w:spacing w:after="0" w:line="240" w:lineRule="auto"/>
    </w:pPr>
  </w:style>
  <w:style w:type="character" w:styleId="a9">
    <w:name w:val="annotation reference"/>
    <w:basedOn w:val="a0"/>
    <w:uiPriority w:val="99"/>
    <w:semiHidden/>
    <w:unhideWhenUsed/>
    <w:rsid w:val="00A1358E"/>
    <w:rPr>
      <w:sz w:val="16"/>
      <w:szCs w:val="16"/>
    </w:rPr>
  </w:style>
  <w:style w:type="paragraph" w:styleId="aa">
    <w:name w:val="annotation text"/>
    <w:basedOn w:val="a"/>
    <w:link w:val="Char2"/>
    <w:uiPriority w:val="99"/>
    <w:unhideWhenUsed/>
    <w:rsid w:val="00A1358E"/>
    <w:pPr>
      <w:spacing w:line="240" w:lineRule="auto"/>
    </w:pPr>
    <w:rPr>
      <w:sz w:val="20"/>
      <w:szCs w:val="20"/>
    </w:rPr>
  </w:style>
  <w:style w:type="character" w:customStyle="1" w:styleId="Char2">
    <w:name w:val="Κείμενο σχολίου Char"/>
    <w:basedOn w:val="a0"/>
    <w:link w:val="aa"/>
    <w:uiPriority w:val="99"/>
    <w:rsid w:val="00A1358E"/>
    <w:rPr>
      <w:sz w:val="20"/>
      <w:szCs w:val="20"/>
    </w:rPr>
  </w:style>
  <w:style w:type="paragraph" w:styleId="ab">
    <w:name w:val="annotation subject"/>
    <w:basedOn w:val="aa"/>
    <w:next w:val="aa"/>
    <w:link w:val="Char3"/>
    <w:uiPriority w:val="99"/>
    <w:semiHidden/>
    <w:unhideWhenUsed/>
    <w:rsid w:val="00A1358E"/>
    <w:rPr>
      <w:b/>
      <w:bCs/>
    </w:rPr>
  </w:style>
  <w:style w:type="character" w:customStyle="1" w:styleId="Char3">
    <w:name w:val="Θέμα σχολίου Char"/>
    <w:basedOn w:val="Char2"/>
    <w:link w:val="ab"/>
    <w:uiPriority w:val="99"/>
    <w:semiHidden/>
    <w:rsid w:val="00A1358E"/>
    <w:rPr>
      <w:b/>
      <w:bCs/>
      <w:sz w:val="20"/>
      <w:szCs w:val="20"/>
    </w:rPr>
  </w:style>
  <w:style w:type="character" w:styleId="-">
    <w:name w:val="Hyperlink"/>
    <w:basedOn w:val="a0"/>
    <w:uiPriority w:val="99"/>
    <w:unhideWhenUsed/>
    <w:rsid w:val="003B024C"/>
    <w:rPr>
      <w:color w:val="0563C1" w:themeColor="hyperlink"/>
      <w:u w:val="single"/>
    </w:rPr>
  </w:style>
  <w:style w:type="character" w:customStyle="1" w:styleId="UnresolvedMention">
    <w:name w:val="Unresolved Mention"/>
    <w:basedOn w:val="a0"/>
    <w:uiPriority w:val="99"/>
    <w:semiHidden/>
    <w:unhideWhenUsed/>
    <w:rsid w:val="003B024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07581502">
      <w:bodyDiv w:val="1"/>
      <w:marLeft w:val="0"/>
      <w:marRight w:val="0"/>
      <w:marTop w:val="0"/>
      <w:marBottom w:val="0"/>
      <w:divBdr>
        <w:top w:val="none" w:sz="0" w:space="0" w:color="auto"/>
        <w:left w:val="none" w:sz="0" w:space="0" w:color="auto"/>
        <w:bottom w:val="none" w:sz="0" w:space="0" w:color="auto"/>
        <w:right w:val="none" w:sz="0" w:space="0" w:color="auto"/>
      </w:divBdr>
    </w:div>
    <w:div w:id="1392773020">
      <w:bodyDiv w:val="1"/>
      <w:marLeft w:val="0"/>
      <w:marRight w:val="0"/>
      <w:marTop w:val="0"/>
      <w:marBottom w:val="0"/>
      <w:divBdr>
        <w:top w:val="none" w:sz="0" w:space="0" w:color="auto"/>
        <w:left w:val="none" w:sz="0" w:space="0" w:color="auto"/>
        <w:bottom w:val="none" w:sz="0" w:space="0" w:color="auto"/>
        <w:right w:val="none" w:sz="0" w:space="0" w:color="auto"/>
      </w:divBdr>
    </w:div>
    <w:div w:id="193890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reece20.gov.gr/oloklirwmeno-pliroforiako-systim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reece20.gov.gr/thesmiko-plaisi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8321e3-e1e9-40cd-969a-a448ad50d277">
      <Terms xmlns="http://schemas.microsoft.com/office/infopath/2007/PartnerControls"/>
    </lcf76f155ced4ddcb4097134ff3c332f>
    <_x03a0__x03bb__x03b7__x03c1__x03bf__x03c6__x03bf__x03c1__x03af__x03b5__x03c2_ xmlns="fb8321e3-e1e9-40cd-969a-a448ad50d277" xsi:nil="true"/>
    <TaxCatchAll xmlns="8c3bcdc1-c190-419f-b8bb-e9c01c02fd16" xsi:nil="true"/>
    <_dlc_DocId xmlns="8c3bcdc1-c190-419f-b8bb-e9c01c02fd16">RRFA-1281797402-22946</_dlc_DocId>
    <_dlc_DocIdUrl xmlns="8c3bcdc1-c190-419f-b8bb-e9c01c02fd16">
      <Url>https://mindiggsis.sharepoint.com/sites/RRF/GD_RIS/Dir_PPAE/_layouts/15/DocIdRedir.aspx?ID=RRFA-1281797402-22946</Url>
      <Description>RRFA-1281797402-22946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137DC4D5072C4988D434A8CC027353" ma:contentTypeVersion="13" ma:contentTypeDescription="Create a new document." ma:contentTypeScope="" ma:versionID="d761b391f38e6da74d4f44d8aa24a7a4">
  <xsd:schema xmlns:xsd="http://www.w3.org/2001/XMLSchema" xmlns:xs="http://www.w3.org/2001/XMLSchema" xmlns:p="http://schemas.microsoft.com/office/2006/metadata/properties" xmlns:ns2="fb8321e3-e1e9-40cd-969a-a448ad50d277" xmlns:ns3="8c3bcdc1-c190-419f-b8bb-e9c01c02fd16" targetNamespace="http://schemas.microsoft.com/office/2006/metadata/properties" ma:root="true" ma:fieldsID="9e3f8cb16412aca0f0dbc41c015076dd" ns2:_="" ns3:_="">
    <xsd:import namespace="fb8321e3-e1e9-40cd-969a-a448ad50d277"/>
    <xsd:import namespace="8c3bcdc1-c190-419f-b8bb-e9c01c02fd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x03a0__x03bb__x03b7__x03c1__x03bf__x03c6__x03bf__x03c1__x03af__x03b5__x03c2_"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8321e3-e1e9-40cd-969a-a448ad50d2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x03a0__x03bb__x03b7__x03c1__x03bf__x03c6__x03bf__x03c1__x03af__x03b5__x03c2_" ma:index="20" nillable="true" ma:displayName="Πληροφορίες" ma:format="Dropdown" ma:internalName="_x03a0__x03bb__x03b7__x03c1__x03bf__x03c6__x03bf__x03c1__x03af__x03b5__x03c2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F4512-5386-471F-B491-F50C1C874991}">
  <ds:schemaRefs>
    <ds:schemaRef ds:uri="http://schemas.microsoft.com/office/2006/metadata/properties"/>
    <ds:schemaRef ds:uri="http://schemas.microsoft.com/office/infopath/2007/PartnerControls"/>
    <ds:schemaRef ds:uri="fb8321e3-e1e9-40cd-969a-a448ad50d277"/>
    <ds:schemaRef ds:uri="8c3bcdc1-c190-419f-b8bb-e9c01c02fd16"/>
  </ds:schemaRefs>
</ds:datastoreItem>
</file>

<file path=customXml/itemProps2.xml><?xml version="1.0" encoding="utf-8"?>
<ds:datastoreItem xmlns:ds="http://schemas.openxmlformats.org/officeDocument/2006/customXml" ds:itemID="{DD3C9DE9-C4A8-4B92-93F7-AD0A1142516E}"/>
</file>

<file path=customXml/itemProps3.xml><?xml version="1.0" encoding="utf-8"?>
<ds:datastoreItem xmlns:ds="http://schemas.openxmlformats.org/officeDocument/2006/customXml" ds:itemID="{92D1788F-65CD-4E3D-B2FC-55D13B4843E3}">
  <ds:schemaRefs>
    <ds:schemaRef ds:uri="http://schemas.microsoft.com/sharepoint/events"/>
  </ds:schemaRefs>
</ds:datastoreItem>
</file>

<file path=customXml/itemProps4.xml><?xml version="1.0" encoding="utf-8"?>
<ds:datastoreItem xmlns:ds="http://schemas.openxmlformats.org/officeDocument/2006/customXml" ds:itemID="{51187738-C577-471D-B6E5-74F99C40B98F}">
  <ds:schemaRefs>
    <ds:schemaRef ds:uri="http://schemas.microsoft.com/sharepoint/v3/contenttype/forms"/>
  </ds:schemaRefs>
</ds:datastoreItem>
</file>

<file path=customXml/itemProps5.xml><?xml version="1.0" encoding="utf-8"?>
<ds:datastoreItem xmlns:ds="http://schemas.openxmlformats.org/officeDocument/2006/customXml" ds:itemID="{9CA98B1E-BFCE-45D6-A9A8-B60564CE0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1952</Words>
  <Characters>10543</Characters>
  <Application>Microsoft Office Word</Application>
  <DocSecurity>0</DocSecurity>
  <Lines>87</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Αθανασία Ρέππα</dc:creator>
  <cp:lastModifiedBy>user</cp:lastModifiedBy>
  <cp:revision>2</cp:revision>
  <dcterms:created xsi:type="dcterms:W3CDTF">2025-06-30T18:38:00Z</dcterms:created>
  <dcterms:modified xsi:type="dcterms:W3CDTF">2025-06-30T18:38:00Z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0x010100CC137DC4D5072C4988D434A8CC027353</vt:lpwstr>
  </property>
  <property fmtid="{D5CDD505-2E9C-101B-9397-08002B2CF9AE}" pid="3" name="_dlc_DocIdItemGuid">
    <vt:lpwstr>7f313c73-c395-4284-81a8-66dae2e846e5</vt:lpwstr>
  </property>
  <property fmtid="{D5CDD505-2E9C-101B-9397-08002B2CF9AE}" pid="4" name="MediaServiceImageTags">
    <vt:lpwstr/>
  </property>
</Properties>
</file>